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center"/>
        <w:outlineLvl w:val="0"/>
        <w:rPr/>
      </w:pP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center"/>
        <w:outlineLvl w:val="0"/>
        <w:rPr/>
      </w:pP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 (племенное птицеводство)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right"/>
        <w:outlineLvl w:val="0"/>
        <w:rPr/>
      </w:pPr>
      <w:r>
        <w:rPr>
          <w:rFonts w:eastAsia="Times New Roman" w:cs="Times New Roman" w:ascii="PT Astra Serif" w:hAnsi="PT Astra Serif"/>
          <w:b/>
          <w:bCs/>
          <w:color w:val="000000"/>
          <w:kern w:val="2"/>
          <w:sz w:val="28"/>
          <w:szCs w:val="28"/>
          <w:lang w:eastAsia="ru-RU"/>
        </w:rPr>
        <w:t>23.11.2023 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Министерство сельского хозяйства Саратовской области (далее - Министерство) объявляет о начале проведения отбора </w:t>
      </w:r>
      <w:r>
        <w:rPr>
          <w:rFonts w:cs="Times New Roman" w:ascii="PT Astra Serif" w:hAnsi="PT Astra Serif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PT Astra Serif" w:hAnsi="PT Astra Serif"/>
          <w:color w:val="000000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PT Astra Serif" w:hAnsi="PT Astra Serif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PT Astra Serif" w:hAnsi="PT Astra Serif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PT Astra Serif" w:hAnsi="PT Astra Serif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 (племенное птицеводство)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PT Astra Serif" w:hAnsi="PT Astra Serif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производства», утвержденным постановлением Правительства Саратовской области от 22 апреля 2016 года  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 24 ноября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Дата окончания приема заявок и документов: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3 декабря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2023 года.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601, тел. 50-70-21).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PT Astra Serif" w:hAnsi="PT Astra Serif" w:eastAsiaTheme="minorHAnsi"/>
          <w:color w:val="000000"/>
          <w:kern w:val="0"/>
          <w:sz w:val="28"/>
          <w:szCs w:val="28"/>
          <w:lang w:val="ru-RU" w:eastAsia="en-US" w:bidi="ar-SA"/>
        </w:rPr>
        <w:t>племенное маточное поголовье сельскохозяйственных животных (в пересчете на условные головы)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</w:r>
    </w:p>
    <w:p>
      <w:pPr>
        <w:pStyle w:val="Style23"/>
        <w:widowControl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 w:ascii="PT Astra Serif" w:hAnsi="PT Astra Serif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в разделе «Субсидии на развитие сельского хозяйства» в информационно-телекоммуникационной сети Интернет размещено </w:t>
      </w:r>
      <w:r>
        <w:rPr>
          <w:rFonts w:eastAsia="Times New Roman" w:cs="Times New Roman" w:ascii="PT Astra Serif" w:hAnsi="PT Astra Serif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73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1) на дату подачи документов для участия в отборе: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PT Astra Serif" w:hAnsi="PT Astra Serif"/>
          <w:color w:val="000000"/>
          <w:spacing w:val="-6"/>
          <w:sz w:val="28"/>
          <w:szCs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/>
      </w:pPr>
      <w:r>
        <w:rPr>
          <w:rFonts w:eastAsia="Times New Roman" w:cs="Times New Roman" w:ascii="PT Astra Serif" w:hAnsi="PT Astra Serif"/>
          <w:color w:val="000000"/>
          <w:spacing w:val="-10"/>
          <w:sz w:val="28"/>
          <w:szCs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обязательствам перед Саратовской областью;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680"/>
        <w:contextualSpacing/>
        <w:jc w:val="both"/>
        <w:rPr/>
      </w:pPr>
      <w:r>
        <w:rPr>
          <w:rFonts w:eastAsia="Times New Roman" w:cs="Times New Roman" w:ascii="PT Astra Serif" w:hAnsi="PT Astra Serif"/>
          <w:color w:val="000000"/>
          <w:spacing w:val="-4"/>
          <w:sz w:val="28"/>
          <w:szCs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PT Astra Serif" w:hAnsi="PT Astra Serif"/>
          <w:color w:val="000000"/>
          <w:spacing w:val="-8"/>
          <w:sz w:val="28"/>
          <w:szCs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PT Astra Serif" w:hAnsi="PT Astra Serif"/>
          <w:sz w:val="28"/>
          <w:szCs w:val="28"/>
        </w:rPr>
        <w:t>постановлением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cs="Times New Roman" w:ascii="PT Astra Serif" w:hAnsi="PT Astra Serif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1) субсидии предоставляются сельскохозяйственным товаропроизводителям, включенным в перечень для предоставления субсидии на поддержку племенного животноводства, утвержденный министерством сельского хозяйства Саратовской области по согласованию с Министерством сельского хозяйства Российской Федерации. </w:t>
      </w:r>
    </w:p>
    <w:p>
      <w:pPr>
        <w:pStyle w:val="ConsPlusNormal"/>
        <w:spacing w:before="0" w:after="0"/>
        <w:ind w:left="0" w:right="0" w:firstLine="540"/>
        <w:jc w:val="both"/>
        <w:rPr>
          <w:rFonts w:ascii="PT Astra Serif" w:hAnsi="PT Astra Serif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>Для участия в отборе в целях получения субсидии заявитель представляет в министерство следующие документы: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1) 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2) 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4) сведения о численности племенного маточного поголовья сельскохозяйственных животных по установленной министерством форме;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5) 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pacing w:val="-6"/>
          <w:sz w:val="28"/>
          <w:szCs w:val="28"/>
        </w:rPr>
        <w:t>6) гарантийное письмо, подписанное руководителем участника отбора,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7) копия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8) 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дату подачи документов для участия в отборе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дату подачи документов для участия в отборе деятельности в качестве индивидуального предпринимателя);</w:t>
      </w:r>
    </w:p>
    <w:p>
      <w:pPr>
        <w:pStyle w:val="ConsPlusNormal"/>
        <w:widowControl w:val="false"/>
        <w:suppressAutoHyphens w:val="true"/>
        <w:bidi w:val="0"/>
        <w:spacing w:lineRule="auto" w:line="235" w:before="0" w:after="0"/>
        <w:ind w:left="-283" w:right="0" w:firstLine="680"/>
        <w:jc w:val="both"/>
        <w:rPr/>
      </w:pPr>
      <w:r>
        <w:rPr>
          <w:rFonts w:cs="Times New Roman" w:ascii="PT Astra Serif" w:hAnsi="PT Astra Serif"/>
          <w:spacing w:val="-6"/>
          <w:sz w:val="28"/>
          <w:szCs w:val="28"/>
        </w:rPr>
        <w:t>9) выписка (сведения) из Единого государственного реестра юридических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PT Astra Serif" w:hAnsi="PT Astra Serif"/>
          <w:sz w:val="28"/>
          <w:szCs w:val="28"/>
        </w:rPr>
        <w:t xml:space="preserve"> на заявителя;</w:t>
      </w:r>
    </w:p>
    <w:p>
      <w:pPr>
        <w:pStyle w:val="ConsPlusNormal"/>
        <w:widowControl w:val="false"/>
        <w:suppressAutoHyphens w:val="true"/>
        <w:bidi w:val="0"/>
        <w:spacing w:lineRule="auto" w:line="228" w:before="0" w:after="0"/>
        <w:ind w:left="-283" w:right="0" w:firstLine="680"/>
        <w:jc w:val="both"/>
        <w:rPr/>
      </w:pPr>
      <w:r>
        <w:rPr>
          <w:rFonts w:cs="Times New Roman" w:ascii="PT Astra Serif" w:hAnsi="PT Astra Serif"/>
          <w:sz w:val="28"/>
          <w:szCs w:val="28"/>
        </w:rPr>
        <w:t>10)</w:t>
      </w:r>
      <w:r>
        <w:rPr>
          <w:rFonts w:cs="Times New Roman" w:ascii="PT Astra Serif" w:hAnsi="PT Astra Serif"/>
          <w:color w:val="FF0000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widowControl w:val="false"/>
        <w:suppressAutoHyphens w:val="true"/>
        <w:bidi w:val="0"/>
        <w:spacing w:lineRule="auto" w:line="228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11) 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</w:t>
        <w:br/>
        <w:t>2020 года № 1479 «Об утверждении Правил противопожарного режима Российской Федерации».</w:t>
      </w:r>
    </w:p>
    <w:p>
      <w:pPr>
        <w:pStyle w:val="ConsPlusNormal"/>
        <w:widowControl w:val="false"/>
        <w:suppressAutoHyphens w:val="true"/>
        <w:bidi w:val="0"/>
        <w:spacing w:lineRule="auto" w:line="228" w:before="0" w:after="0"/>
        <w:ind w:left="-283" w:right="0" w:firstLine="680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Документы, указанные в подпунктах 1-8 представляются участником отбора.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Документы, указанные в подпунктах 9-11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: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Министерство в рамках предоставленных полномочий: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Calibri" w:cs="Times New Roman" w:ascii="PT Astra Serif" w:hAnsi="PT Astra Serif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Calibri" w:cs="Times New Roman" w:ascii="PT Astra Serif" w:hAnsi="PT Astra Serif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680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данный заявитель признается уклонившимся 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-283" w:right="0" w:firstLine="567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В течение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5">
    <w:name w:val="ListLabel 25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27">
    <w:name w:val="ListLabel 27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28">
    <w:name w:val="ListLabel 28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29">
    <w:name w:val="ListLabel 29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30">
    <w:name w:val="ListLabel 30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31">
    <w:name w:val="ListLabel 31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32">
    <w:name w:val="ListLabel 32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33">
    <w:name w:val="ListLabel 33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34">
    <w:name w:val="ListLabel 34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35">
    <w:name w:val="ListLabel 35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36">
    <w:name w:val="ListLabel 36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37">
    <w:name w:val="ListLabel 37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38">
    <w:name w:val="ListLabel 38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39">
    <w:name w:val="ListLabel 39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Application>LibreOffice/6.1.3.2$Linux_X86_64 LibreOffice_project/10$Build-2</Application>
  <Pages>5</Pages>
  <Words>1447</Words>
  <Characters>10825</Characters>
  <CharactersWithSpaces>12233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2021-08-03T11:50:27Z</cp:lastPrinted>
  <dcterms:modified xsi:type="dcterms:W3CDTF">2023-11-23T12:45:41Z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