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поддержку собственного производства молока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auto"/>
          <w:spacing w:val="-4"/>
          <w:kern w:val="2"/>
          <w:sz w:val="28"/>
          <w:szCs w:val="28"/>
          <w:lang w:val="ru-RU" w:eastAsia="ru-RU" w:bidi="ar-SA"/>
        </w:rPr>
        <w:tab/>
        <w:tab/>
        <w:tab/>
        <w:tab/>
        <w:tab/>
        <w:tab/>
        <w:tab/>
        <w:tab/>
        <w:tab/>
        <w:tab/>
        <w:t>26.04.2022 г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поддержку собственного производства молока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за 1 квартал 2022 года</w:t>
      </w:r>
      <w:r>
        <w:rPr>
          <w:rStyle w:val="Strong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27 апреля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26 мая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2022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cs="Times New Roman" w:ascii="Times New Roman" w:hAnsi="Times New Roman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и территорий, предоставляющих льготный налоговый режим налогообложения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0"/>
          <w:lang w:val="ru-RU" w:eastAsia="ru-RU" w:bidi="ar-SA"/>
        </w:rPr>
        <w:t>постановлением Правительства Российской Федерации от 16 сентября 2020 года № 1479 «О</w:t>
      </w:r>
      <w:r>
        <w:rPr>
          <w:rFonts w:eastAsia="Times New Roman" w:cs="Times New Roman" w:ascii="Times New Roman" w:hAnsi="Times New Roman"/>
          <w:color w:val="000000"/>
          <w:sz w:val="28"/>
        </w:rPr>
        <w:t>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наличие поголовья коров и (или) коз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2) сохранение и (или) увеличение поголовья коров и (или) коз в отчетном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финансовом году по отношению к уровню года, предшествующего отчетному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финансовому году, за исключением сельскохозяйственных товаропроизводителей,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которые начали хозяйственную деятельность по производству молока в отчетном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</w:rPr>
        <w:t>финансовом году, и сельскохозяйственных товаропроизводителей, представивших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документы, подтверждающие наступление обстоятельств непреодолимой силы, и проведение мероприятий по оздоровлению стада от лейкоза крупного рогатого скота в отчетном финансовом году.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4) сведения о наличии поголовья коров и (или) коз, об объемах производства молока, объемах реализованного и (или) отгруженного </w:t>
        <w:br/>
        <w:t xml:space="preserve">на собственную переработку молока, молочной продуктивности коров </w:t>
        <w:br/>
        <w:t>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5) копия сертификата соответствия на продукцию, заверенная молокоперерабатывающим предприятием (для сельскохозяйственных товаропроизводителей, реализующих молоко на предприятия (включая собственные перерабатывающие цеха), осуществляющих промышленную переработку молока);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6)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7)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8) копии документов, подтверждающих факт реализации и (или) отгрузки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  <w:szCs w:val="28"/>
        </w:rPr>
        <w:t>на собственную переработку молока за период, заявленный для предоставления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средств;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9)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-6"/>
          <w:sz w:val="28"/>
          <w:szCs w:val="28"/>
        </w:rPr>
        <w:t>10)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</w:t>
      </w:r>
      <w:r>
        <w:rPr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12)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1-9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10-12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30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Application>LibreOffice/6.4.6.2$Linux_X86_64 LibreOffice_project/40$Build-2</Application>
  <Pages>6</Pages>
  <Words>1475</Words>
  <Characters>11167</Characters>
  <CharactersWithSpaces>12611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2022-04-26T09:51:07Z</cp:lastPrinted>
  <dcterms:modified xsi:type="dcterms:W3CDTF">2022-05-07T11:32:34Z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