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numPr>
          <w:ilvl w:val="0"/>
          <w:numId w:val="0"/>
        </w:numPr>
        <w:shd w:val="clear" w:color="auto" w:fill="FFFFFF"/>
        <w:suppressAutoHyphens w:val="true"/>
        <w:bidi w:val="0"/>
        <w:spacing w:lineRule="auto" w:line="240" w:before="0" w:after="0"/>
        <w:ind w:left="0" w:right="0" w:hanging="0"/>
        <w:jc w:val="center"/>
        <w:outlineLvl w:val="0"/>
        <w:rPr/>
      </w:pPr>
      <w:r>
        <w:rPr>
          <w:rFonts w:eastAsia="Times New Roman" w:cs="Times New Roman" w:ascii="Times New Roman" w:hAnsi="Times New Roman"/>
          <w:b/>
          <w:bCs/>
          <w:kern w:val="2"/>
          <w:sz w:val="28"/>
          <w:szCs w:val="28"/>
          <w:lang w:eastAsia="ru-RU"/>
        </w:rPr>
        <w:t xml:space="preserve">Объявление о проведении отбора получателей субсидий </w:t>
      </w:r>
    </w:p>
    <w:p>
      <w:pPr>
        <w:pStyle w:val="Normal"/>
        <w:widowControl/>
        <w:numPr>
          <w:ilvl w:val="0"/>
          <w:numId w:val="0"/>
        </w:numPr>
        <w:shd w:val="clear" w:color="auto" w:fill="FFFFFF"/>
        <w:suppressAutoHyphens w:val="true"/>
        <w:bidi w:val="0"/>
        <w:spacing w:lineRule="auto" w:line="240" w:before="0" w:after="0"/>
        <w:ind w:left="0" w:right="0" w:hanging="0"/>
        <w:jc w:val="center"/>
        <w:outlineLvl w:val="0"/>
        <w:rPr/>
      </w:pPr>
      <w:r>
        <w:rPr>
          <w:rFonts w:eastAsia="Times New Roman" w:cs="Times New Roman" w:ascii="Times New Roman" w:hAnsi="Times New Roman"/>
          <w:b/>
          <w:bCs/>
          <w:color w:val="000000"/>
          <w:sz w:val="28"/>
        </w:rPr>
        <w:t xml:space="preserve">на возмещение части затрат на </w:t>
      </w:r>
      <w:r>
        <w:rPr>
          <w:rFonts w:eastAsia="Times New Roman" w:cs="Times New Roman" w:ascii="Times New Roman" w:hAnsi="Times New Roman"/>
          <w:b/>
          <w:bCs/>
          <w:color w:val="000000"/>
          <w:spacing w:val="-4"/>
          <w:kern w:val="2"/>
          <w:sz w:val="28"/>
          <w:szCs w:val="28"/>
          <w:lang w:eastAsia="ru-RU"/>
        </w:rPr>
        <w:t xml:space="preserve">приобретение племенного </w:t>
      </w:r>
    </w:p>
    <w:p>
      <w:pPr>
        <w:pStyle w:val="Normal"/>
        <w:widowControl/>
        <w:numPr>
          <w:ilvl w:val="0"/>
          <w:numId w:val="0"/>
        </w:numPr>
        <w:shd w:val="clear" w:color="auto" w:fill="FFFFFF"/>
        <w:suppressAutoHyphens w:val="true"/>
        <w:bidi w:val="0"/>
        <w:spacing w:lineRule="auto" w:line="240" w:before="0" w:after="0"/>
        <w:ind w:left="0" w:right="0" w:hanging="0"/>
        <w:jc w:val="center"/>
        <w:outlineLvl w:val="0"/>
        <w:rPr/>
      </w:pPr>
      <w:r>
        <w:rPr>
          <w:rFonts w:eastAsia="Times New Roman" w:cs="Times New Roman" w:ascii="Times New Roman" w:hAnsi="Times New Roman"/>
          <w:b/>
          <w:bCs/>
          <w:color w:val="000000"/>
          <w:spacing w:val="-4"/>
          <w:kern w:val="2"/>
          <w:sz w:val="28"/>
          <w:szCs w:val="28"/>
          <w:lang w:eastAsia="ru-RU"/>
        </w:rPr>
        <w:t xml:space="preserve">молодняка сельскохозяйственных животных </w:t>
      </w:r>
    </w:p>
    <w:p>
      <w:pPr>
        <w:pStyle w:val="Normal"/>
        <w:widowControl/>
        <w:numPr>
          <w:ilvl w:val="0"/>
          <w:numId w:val="0"/>
        </w:numPr>
        <w:shd w:val="clear" w:color="auto" w:fill="FFFFFF"/>
        <w:suppressAutoHyphens w:val="true"/>
        <w:bidi w:val="0"/>
        <w:spacing w:lineRule="auto" w:line="240" w:before="0" w:after="0"/>
        <w:ind w:left="0" w:right="0" w:hanging="0"/>
        <w:jc w:val="center"/>
        <w:outlineLvl w:val="0"/>
        <w:rPr/>
      </w:pPr>
      <w:r>
        <w:rPr>
          <w:rFonts w:eastAsia="Times New Roman" w:cs="Times New Roman" w:ascii="Times New Roman" w:hAnsi="Times New Roman"/>
          <w:b/>
          <w:bCs/>
          <w:color w:val="000000"/>
          <w:spacing w:val="-4"/>
          <w:kern w:val="2"/>
          <w:sz w:val="28"/>
          <w:szCs w:val="28"/>
          <w:lang w:eastAsia="ru-RU"/>
        </w:rPr>
        <w:t>(быки и бараны в возрасте от 10 до 24 месяцев)</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color w:val="3B4256"/>
          <w:kern w:val="2"/>
          <w:sz w:val="28"/>
          <w:szCs w:val="28"/>
          <w:lang w:eastAsia="ru-RU"/>
        </w:rPr>
      </w:pPr>
      <w:r>
        <w:rPr>
          <w:rFonts w:eastAsia="Times New Roman" w:cs="Times New Roman" w:ascii="Times New Roman" w:hAnsi="Times New Roman"/>
          <w:b/>
          <w:bCs/>
          <w:color w:val="3B4256"/>
          <w:kern w:val="2"/>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Times New Roman" w:hAnsi="Times New Roman"/>
          <w:color w:val="000000"/>
          <w:sz w:val="28"/>
          <w:szCs w:val="28"/>
        </w:rPr>
        <w:t xml:space="preserve">на предоставление в 2021 году </w:t>
      </w:r>
      <w:r>
        <w:rPr>
          <w:rStyle w:val="Strong"/>
          <w:rFonts w:cs="Times New Roman" w:ascii="Times New Roman" w:hAnsi="Times New Roman"/>
          <w:b w:val="false"/>
          <w:color w:val="000000"/>
          <w:sz w:val="28"/>
          <w:szCs w:val="28"/>
        </w:rPr>
        <w:t>субсиди</w:t>
      </w:r>
      <w:r>
        <w:rPr>
          <w:rStyle w:val="Strong"/>
          <w:rFonts w:cs="Times New Roman" w:ascii="Times New Roman" w:hAnsi="Times New Roman"/>
          <w:b w:val="false"/>
          <w:bCs w:val="false"/>
          <w:color w:val="000000"/>
          <w:sz w:val="28"/>
          <w:szCs w:val="28"/>
        </w:rPr>
        <w:t xml:space="preserve">й </w:t>
      </w:r>
      <w:r>
        <w:rPr>
          <w:rStyle w:val="Strong"/>
          <w:rFonts w:eastAsia="Times New Roman" w:cs="Times New Roman" w:ascii="Times New Roman" w:hAnsi="Times New Roman"/>
          <w:b w:val="false"/>
          <w:bCs w:val="false"/>
          <w:color w:val="000000"/>
          <w:sz w:val="28"/>
          <w:szCs w:val="28"/>
        </w:rPr>
        <w:t xml:space="preserve">на возмещение части затрат на </w:t>
      </w:r>
      <w:r>
        <w:rPr>
          <w:rStyle w:val="Strong"/>
          <w:rFonts w:eastAsia="Times New Roman" w:cs="Times New Roman" w:ascii="Times New Roman" w:hAnsi="Times New Roman"/>
          <w:b w:val="false"/>
          <w:bCs w:val="false"/>
          <w:color w:val="000000"/>
          <w:spacing w:val="-4"/>
          <w:kern w:val="2"/>
          <w:sz w:val="28"/>
          <w:szCs w:val="28"/>
          <w:lang w:eastAsia="ru-RU"/>
        </w:rPr>
        <w:t xml:space="preserve">приобретение племенного </w:t>
      </w:r>
      <w:r>
        <w:rPr>
          <w:rFonts w:eastAsia="Times New Roman" w:cs="Times New Roman" w:ascii="Times New Roman" w:hAnsi="Times New Roman"/>
          <w:b w:val="false"/>
          <w:bCs w:val="false"/>
          <w:color w:val="000000"/>
          <w:spacing w:val="-4"/>
          <w:kern w:val="2"/>
          <w:sz w:val="28"/>
          <w:szCs w:val="28"/>
          <w:lang w:eastAsia="ru-RU"/>
        </w:rPr>
        <w:t xml:space="preserve">молодняка сельскохозяйственных животных </w:t>
      </w:r>
      <w:r>
        <w:rPr>
          <w:rStyle w:val="Strong"/>
          <w:rFonts w:eastAsia="Times New Roman" w:cs="Times New Roman" w:ascii="Times New Roman" w:hAnsi="Times New Roman"/>
          <w:b w:val="false"/>
          <w:bCs w:val="false"/>
          <w:color w:val="000000"/>
          <w:spacing w:val="-4"/>
          <w:kern w:val="2"/>
          <w:sz w:val="28"/>
          <w:szCs w:val="28"/>
          <w:lang w:eastAsia="ru-RU"/>
        </w:rPr>
        <w:t>(быки и бараны в возрасте от 10 до 24 месяцев)</w:t>
      </w:r>
      <w:r>
        <w:rPr>
          <w:rStyle w:val="Strong"/>
          <w:rFonts w:eastAsia="Times New Roman" w:cs="Times New Roman" w:ascii="Times New Roman" w:hAnsi="Times New Roman"/>
          <w:b w:val="false"/>
          <w:bCs w:val="false"/>
          <w:color w:val="000000"/>
          <w:sz w:val="28"/>
          <w:szCs w:val="28"/>
          <w:lang w:eastAsia="ru-RU"/>
        </w:rPr>
        <w:t xml:space="preserve"> </w:t>
      </w:r>
      <w:r>
        <w:rPr>
          <w:rFonts w:eastAsia="Times New Roman" w:cs="Times New Roman" w:ascii="Times New Roman" w:hAnsi="Times New Roman"/>
          <w:sz w:val="28"/>
          <w:szCs w:val="28"/>
          <w:lang w:eastAsia="ru-RU"/>
        </w:rPr>
        <w:t>в соответствии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утвержденным постановлением Правительства Саратовской области от 22.04.2016 г № 187-П (далее — Положение).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начала приема заявок и документов: </w:t>
      </w:r>
      <w:r>
        <w:rPr>
          <w:rFonts w:eastAsia="Times New Roman" w:cs="Times New Roman" w:ascii="Times New Roman" w:hAnsi="Times New Roman"/>
          <w:sz w:val="28"/>
          <w:szCs w:val="28"/>
          <w:lang w:eastAsia="ru-RU"/>
        </w:rPr>
        <w:t>21 сентября</w:t>
      </w:r>
      <w:r>
        <w:rPr>
          <w:rFonts w:eastAsia="Times New Roman" w:cs="Times New Roman" w:ascii="Times New Roman" w:hAnsi="Times New Roman"/>
          <w:color w:val="000000"/>
          <w:kern w:val="0"/>
          <w:sz w:val="28"/>
          <w:szCs w:val="28"/>
          <w:lang w:val="ru-RU" w:eastAsia="ru-RU" w:bidi="ar-SA"/>
        </w:rPr>
        <w:t xml:space="preserve"> 2021</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окончания приема заявок и документов: </w:t>
      </w:r>
      <w:r>
        <w:rPr>
          <w:rFonts w:eastAsia="Times New Roman" w:cs="Times New Roman" w:ascii="Times New Roman" w:hAnsi="Times New Roman"/>
          <w:sz w:val="28"/>
          <w:szCs w:val="28"/>
          <w:lang w:eastAsia="ru-RU"/>
        </w:rPr>
        <w:t>20 октября</w:t>
      </w:r>
      <w:r>
        <w:rPr>
          <w:rFonts w:eastAsia="Times New Roman" w:cs="Times New Roman" w:ascii="Times New Roman" w:hAnsi="Times New Roman"/>
          <w:sz w:val="28"/>
          <w:szCs w:val="28"/>
          <w:lang w:eastAsia="ru-RU"/>
        </w:rPr>
        <w:t xml:space="preserve"> 2021 года.</w:t>
      </w:r>
    </w:p>
    <w:p>
      <w:pPr>
        <w:pStyle w:val="Normal"/>
        <w:widowControl w:val="false"/>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Times New Roman" w:hAnsi="Times New Roman"/>
          <w:color w:val="000000"/>
          <w:kern w:val="0"/>
          <w:sz w:val="28"/>
          <w:szCs w:val="28"/>
          <w:lang w:val="ru-RU" w:eastAsia="ru-RU" w:bidi="ar-SA"/>
        </w:rPr>
        <w:t>м</w:t>
      </w:r>
      <w:r>
        <w:rPr>
          <w:rFonts w:eastAsia="Times New Roman" w:cs="Times New Roman" w:ascii="Times New Roman" w:hAnsi="Times New Roman"/>
          <w:sz w:val="28"/>
          <w:szCs w:val="28"/>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Style w:val="ListLabel1"/>
            <w:rFonts w:eastAsia="Calibri" w:cs="Times New Roman" w:ascii="Times New Roman" w:hAnsi="Times New Roman"/>
            <w:color w:val="000000"/>
            <w:sz w:val="28"/>
            <w:szCs w:val="28"/>
            <w:u w:val="none"/>
            <w:lang w:val="en-US"/>
          </w:rPr>
          <w:t>mcx</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saratov</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gov</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ru</w:t>
        </w:r>
      </w:hyperlink>
      <w:r>
        <w:rPr>
          <w:rStyle w:val="Style13"/>
          <w:rFonts w:eastAsia="Calibri" w:cs="Times New Roman" w:ascii="Times New Roman" w:hAnsi="Times New Roman"/>
          <w:color w:val="000000"/>
          <w:sz w:val="28"/>
          <w:szCs w:val="28"/>
          <w:u w:val="none"/>
        </w:rPr>
        <w:t>.</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Заявки и документы необходимо предоставлять в Министерство по адресу: 410012, г. Саратов, ул. Университетская, 45/51 (кабинет № 601, тел.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b/>
          <w:sz w:val="28"/>
          <w:szCs w:val="28"/>
          <w:lang w:eastAsia="ru-RU"/>
        </w:rPr>
        <w:t>Результатом предоставления субсидии является:</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достижение установленн</w:t>
      </w:r>
      <w:r>
        <w:rPr>
          <w:rFonts w:eastAsia="Times New Roman" w:cs="Times New Roman" w:ascii="Times New Roman" w:hAnsi="Times New Roman"/>
          <w:color w:val="000000"/>
          <w:kern w:val="0"/>
          <w:sz w:val="28"/>
          <w:szCs w:val="28"/>
          <w:lang w:val="ru-RU" w:eastAsia="ru-RU" w:bidi="ar-SA"/>
        </w:rPr>
        <w:t>ого</w:t>
      </w:r>
      <w:r>
        <w:rPr>
          <w:rFonts w:eastAsia="Times New Roman" w:cs="Times New Roman" w:ascii="Times New Roman" w:hAnsi="Times New Roman"/>
          <w:sz w:val="28"/>
          <w:szCs w:val="28"/>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eastAsia="Calibri" w:cs="Times New Roman" w:ascii="Times New Roman" w:hAnsi="Times New Roman" w:eastAsiaTheme="minorHAnsi"/>
          <w:color w:val="000000"/>
          <w:kern w:val="0"/>
          <w:sz w:val="28"/>
          <w:szCs w:val="28"/>
          <w:lang w:val="ru-RU" w:eastAsia="en-US" w:bidi="ar-SA"/>
        </w:rPr>
        <w:t>племенное маточное поголовье сельскохозяйственных животных (в пересчете на условные головы)</w:t>
      </w:r>
      <w:r>
        <w:rPr>
          <w:rFonts w:eastAsia="Times New Roman" w:cs="Times New Roman" w:ascii="Times New Roman" w:hAnsi="Times New Roman"/>
          <w:sz w:val="28"/>
          <w:szCs w:val="28"/>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pPr>
      <w:r>
        <w:rPr>
          <w:rFonts w:eastAsia="Times New Roman" w:cs="Times New Roman"/>
          <w:sz w:val="28"/>
          <w:szCs w:val="28"/>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b/>
          <w:bCs/>
          <w:sz w:val="28"/>
          <w:szCs w:val="28"/>
          <w:lang w:eastAsia="ru-RU"/>
        </w:rPr>
        <w:t xml:space="preserve"> </w:t>
      </w:r>
      <w:hyperlink r:id="rId3">
        <w:r>
          <w:rPr>
            <w:rStyle w:val="ListLabel3"/>
            <w:rFonts w:eastAsia="Times New Roman" w:cs="Times New Roman"/>
            <w:b/>
            <w:bCs/>
            <w:sz w:val="28"/>
            <w:szCs w:val="28"/>
            <w:lang w:eastAsia="ru-RU"/>
          </w:rPr>
          <w:t>https://www.minagro.saratov.gov.ru</w:t>
        </w:r>
      </w:hyperlink>
      <w:r>
        <w:rPr>
          <w:rFonts w:eastAsia="Times New Roman" w:cs="Times New Roman"/>
          <w:b/>
          <w:bCs/>
          <w:sz w:val="28"/>
          <w:szCs w:val="28"/>
          <w:lang w:eastAsia="ru-RU"/>
        </w:rPr>
        <w:t xml:space="preserve"> </w:t>
      </w:r>
      <w:r>
        <w:rPr>
          <w:rFonts w:eastAsia="Times New Roman" w:cs="Times New Roman"/>
          <w:sz w:val="28"/>
          <w:szCs w:val="28"/>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spacing w:val="-4"/>
          <w:sz w:val="28"/>
          <w:szCs w:val="28"/>
          <w:lang w:eastAsia="ru-RU"/>
        </w:rPr>
        <w:t>объявление о проведении отбора.</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Требования к участникам отбора:</w:t>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color w:val="000000"/>
          <w:sz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(неурегулированной) задолженности по денежным обязательствам перед Саратовской областью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задолженности перед областным бюджетом на первое число месяца, в котором планируется заключение соглашения о предоставлении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субсидий,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на первое число месяца, в котором планируется заключение соглашения о предоставлении субсидий, получатели субсидий не должны получать средства из областного бюджета в соответствии с иными нормативными правовыми актами на цели, </w:t>
      </w:r>
      <w:r>
        <w:rPr>
          <w:rFonts w:eastAsia="Times New Roman" w:cs="Times New Roman" w:ascii="Times New Roman" w:hAnsi="Times New Roman"/>
          <w:color w:val="000000"/>
          <w:kern w:val="0"/>
          <w:sz w:val="28"/>
          <w:szCs w:val="20"/>
          <w:lang w:val="ru-RU" w:eastAsia="ru-RU" w:bidi="ar-SA"/>
        </w:rPr>
        <w:t>предусмотренные данной субсидией</w:t>
      </w:r>
      <w:r>
        <w:rPr>
          <w:rFonts w:eastAsia="Times New Roman" w:cs="Times New Roman" w:ascii="Times New Roman" w:hAnsi="Times New Roman"/>
          <w:color w:val="000000"/>
          <w:sz w:val="28"/>
        </w:rPr>
        <w:t>;</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lineRule="auto" w:line="240" w:before="0" w:after="0"/>
        <w:ind w:left="0" w:right="0"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ConsPlus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left="0" w:right="0" w:firstLine="540"/>
        <w:jc w:val="both"/>
        <w:rPr>
          <w:b/>
          <w:b/>
          <w:bCs/>
        </w:rPr>
      </w:pPr>
      <w:r>
        <w:rPr>
          <w:rFonts w:eastAsia="Times New Roman" w:cs="Times New Roman" w:ascii="Times New Roman" w:hAnsi="Times New Roman"/>
          <w:b/>
          <w:bCs/>
          <w:color w:val="000000"/>
          <w:sz w:val="28"/>
        </w:rPr>
        <w:t xml:space="preserve">Для </w:t>
      </w:r>
      <w:r>
        <w:rPr>
          <w:rFonts w:eastAsia="Times New Roman" w:cs="Times New Roman" w:ascii="Times New Roman" w:hAnsi="Times New Roman"/>
          <w:b/>
          <w:bCs/>
          <w:color w:val="000000"/>
          <w:sz w:val="28"/>
          <w:szCs w:val="28"/>
        </w:rPr>
        <w:t xml:space="preserve">участия в отборе в целях </w:t>
      </w:r>
      <w:r>
        <w:rPr>
          <w:rFonts w:eastAsia="Times New Roman" w:cs="Times New Roman" w:ascii="Times New Roman" w:hAnsi="Times New Roman"/>
          <w:b/>
          <w:bCs/>
          <w:color w:val="000000"/>
          <w:sz w:val="28"/>
        </w:rPr>
        <w:t>получения субсидии заявитель представляет в министерство следующие документы:</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 заявка на участие в отборе для получения субсидии по форме приложения 3 к Положению;</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заявление о предоставлении субсидии по форме, утвержденной Министерством финансов Российской Федерации;</w:t>
      </w:r>
    </w:p>
    <w:p>
      <w:pPr>
        <w:pStyle w:val="ConsPlusNormal"/>
        <w:spacing w:before="0" w:after="0"/>
        <w:ind w:left="0" w:right="0" w:firstLine="540"/>
        <w:jc w:val="both"/>
        <w:rPr/>
      </w:pPr>
      <w:r>
        <w:rPr>
          <w:rFonts w:eastAsia="Times New Roman" w:cs="Times New Roman" w:ascii="Times New Roman" w:hAnsi="Times New Roman"/>
          <w:color w:val="000000"/>
          <w:sz w:val="28"/>
          <w:szCs w:val="28"/>
          <w:lang w:eastAsia="ru-RU"/>
        </w:rPr>
        <w:t>3)</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п</w:t>
      </w:r>
      <w:r>
        <w:rPr>
          <w:rFonts w:eastAsia="Times New Roman" w:cs="Times New Roman" w:ascii="Times New Roman" w:hAnsi="Times New Roman"/>
          <w:color w:val="000000"/>
          <w:sz w:val="28"/>
          <w:szCs w:val="28"/>
        </w:rPr>
        <w:t>исьмо территориального органа Федеральной налоговой службы, подписанное ее руководителем (иным уполномоченным лицом), подтверждающее, что Получатель субсидии не находится в процессе реорганизации, ликвидации, банкротства;</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4)</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с</w:t>
      </w:r>
      <w:r>
        <w:rPr>
          <w:rFonts w:eastAsia="Times New Roman" w:cs="Times New Roman" w:ascii="Times New Roman" w:hAnsi="Times New Roman"/>
          <w:color w:val="000000"/>
          <w:sz w:val="28"/>
          <w:szCs w:val="28"/>
        </w:rPr>
        <w:t>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в котором получатель субсидии представляет в министерство документы для получения субсидий, подтверждающая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0" w:after="0"/>
        <w:ind w:left="0" w:right="0" w:firstLine="540"/>
        <w:jc w:val="both"/>
        <w:rPr/>
      </w:pPr>
      <w:r>
        <w:rPr>
          <w:rFonts w:eastAsia="Times New Roman" w:cs="Times New Roman" w:ascii="Times New Roman" w:hAnsi="Times New Roman"/>
          <w:color w:val="000000"/>
          <w:kern w:val="0"/>
          <w:sz w:val="28"/>
          <w:szCs w:val="20"/>
          <w:lang w:val="ru-RU" w:eastAsia="ru-RU" w:bidi="ar-SA"/>
        </w:rPr>
        <w:t>5</w:t>
      </w:r>
      <w:r>
        <w:rPr>
          <w:rFonts w:eastAsia="Times New Roman" w:cs="Times New Roman" w:ascii="Times New Roman" w:hAnsi="Times New Roman"/>
          <w:color w:val="000000"/>
          <w:sz w:val="28"/>
        </w:rPr>
        <w:t>) справк</w:t>
      </w:r>
      <w:r>
        <w:rPr>
          <w:rFonts w:eastAsia="Times New Roman" w:cs="Times New Roman" w:ascii="Times New Roman" w:hAnsi="Times New Roman"/>
          <w:color w:val="000000"/>
          <w:kern w:val="0"/>
          <w:sz w:val="28"/>
          <w:szCs w:val="20"/>
          <w:lang w:val="ru-RU" w:eastAsia="ru-RU" w:bidi="ar-SA"/>
        </w:rPr>
        <w:t>а</w:t>
      </w:r>
      <w:r>
        <w:rPr>
          <w:rFonts w:eastAsia="Times New Roman" w:cs="Times New Roman" w:ascii="Times New Roman" w:hAnsi="Times New Roman"/>
          <w:color w:val="000000"/>
          <w:sz w:val="28"/>
        </w:rPr>
        <w:t>-расчет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kern w:val="0"/>
          <w:sz w:val="28"/>
          <w:szCs w:val="20"/>
          <w:lang w:val="ru-RU" w:eastAsia="ru-RU" w:bidi="ar-SA"/>
        </w:rPr>
        <w:t>6</w:t>
      </w:r>
      <w:r>
        <w:rPr>
          <w:rFonts w:eastAsia="Times New Roman" w:cs="Times New Roman" w:ascii="Times New Roman" w:hAnsi="Times New Roman"/>
          <w:color w:val="000000"/>
          <w:sz w:val="28"/>
        </w:rPr>
        <w:t>) копию договора купли-продажи (иного договора), заключенного в текущем финансовом году;</w:t>
      </w:r>
    </w:p>
    <w:p>
      <w:pPr>
        <w:pStyle w:val="ConsPlusNormal"/>
        <w:spacing w:before="0" w:after="0"/>
        <w:ind w:left="0" w:right="0" w:firstLine="540"/>
        <w:jc w:val="both"/>
        <w:rPr/>
      </w:pPr>
      <w:r>
        <w:rPr>
          <w:rFonts w:eastAsia="Times New Roman" w:cs="Times New Roman" w:ascii="Times New Roman" w:hAnsi="Times New Roman"/>
          <w:color w:val="000000"/>
          <w:sz w:val="28"/>
        </w:rPr>
        <w:t>7) копии платежных документов;</w:t>
      </w:r>
    </w:p>
    <w:p>
      <w:pPr>
        <w:pStyle w:val="ConsPlusNormal"/>
        <w:spacing w:before="0" w:after="0"/>
        <w:ind w:left="0" w:right="0" w:firstLine="540"/>
        <w:jc w:val="both"/>
        <w:rPr/>
      </w:pPr>
      <w:r>
        <w:rPr>
          <w:rFonts w:eastAsia="Times New Roman" w:cs="Times New Roman" w:ascii="Times New Roman" w:hAnsi="Times New Roman"/>
          <w:color w:val="000000"/>
          <w:sz w:val="28"/>
        </w:rPr>
        <w:t>8) копии счетов-фактур (счетов);</w:t>
      </w:r>
    </w:p>
    <w:p>
      <w:pPr>
        <w:pStyle w:val="ConsPlusNormal"/>
        <w:spacing w:before="0" w:after="0"/>
        <w:ind w:left="0" w:right="0" w:firstLine="540"/>
        <w:jc w:val="both"/>
        <w:rPr/>
      </w:pPr>
      <w:r>
        <w:rPr>
          <w:rFonts w:eastAsia="Times New Roman" w:cs="Times New Roman" w:ascii="Times New Roman" w:hAnsi="Times New Roman"/>
          <w:color w:val="000000"/>
          <w:sz w:val="28"/>
        </w:rPr>
        <w:t>9) копии накладных;</w:t>
      </w:r>
    </w:p>
    <w:p>
      <w:pPr>
        <w:pStyle w:val="ConsPlusNormal"/>
        <w:spacing w:before="0" w:after="0"/>
        <w:ind w:left="0" w:right="0" w:firstLine="540"/>
        <w:jc w:val="both"/>
        <w:rPr/>
      </w:pPr>
      <w:r>
        <w:rPr>
          <w:rFonts w:eastAsia="Times New Roman" w:cs="Times New Roman" w:ascii="Times New Roman" w:hAnsi="Times New Roman"/>
          <w:color w:val="000000"/>
          <w:sz w:val="28"/>
        </w:rPr>
        <w:t>10) гарантийное письмо о сохранении приобретенного племенного поголовья сельскохозяйственных животных по состоянию на 1 января года, следующего за текущим финансовым годом;</w:t>
      </w:r>
    </w:p>
    <w:p>
      <w:pPr>
        <w:pStyle w:val="ConsPlusNormal"/>
        <w:spacing w:before="0" w:after="0"/>
        <w:ind w:left="0" w:right="0" w:firstLine="540"/>
        <w:jc w:val="both"/>
        <w:rPr/>
      </w:pPr>
      <w:r>
        <w:rPr>
          <w:rFonts w:eastAsia="Times New Roman" w:cs="Times New Roman" w:ascii="Times New Roman" w:hAnsi="Times New Roman"/>
          <w:color w:val="000000"/>
          <w:sz w:val="28"/>
        </w:rPr>
        <w:t>11) информацию о том, что заявитель является сельскохозяйственным товаропроизводителем и доля дохода от реализации продукции составляет не менее 70 процентов за календарный год, по установленной министерством форме;</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у получателя субсидии просроченной (неурегулированной) задолженности по денежным обязательствам перед Саратовской областью;</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просроченной задолженности по возврату в областной бюджет на первое число месяца представления документов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непрекращении на первое число месяца представления документов деятельности в качестве индивидуального предпринимателя;</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том, что получатель субсидии на первое число месяца представления документов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проведение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pPr>
      <w:r>
        <w:rPr>
          <w:rFonts w:eastAsia="Times New Roman" w:cs="Times New Roman" w:ascii="Times New Roman" w:hAnsi="Times New Roman"/>
          <w:b w:val="false"/>
          <w:bCs w:val="false"/>
          <w:color w:val="000000"/>
          <w:sz w:val="28"/>
          <w:szCs w:val="28"/>
        </w:rPr>
        <w:t>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before="0" w:after="0"/>
        <w:ind w:left="0" w:right="0" w:firstLine="540"/>
        <w:jc w:val="both"/>
        <w:rPr/>
      </w:pPr>
      <w:r>
        <w:rPr>
          <w:rFonts w:eastAsia="Times New Roman" w:cs="Times New Roman" w:ascii="Times New Roman" w:hAnsi="Times New Roman"/>
          <w:color w:val="000000"/>
          <w:sz w:val="28"/>
          <w:szCs w:val="28"/>
        </w:rPr>
        <w:t>Заявитель вправе по собственной инициативе представить в министерство:</w:t>
      </w:r>
    </w:p>
    <w:p>
      <w:pPr>
        <w:pStyle w:val="ConsPlusNormal"/>
        <w:spacing w:lineRule="auto" w:line="240" w:before="0" w:after="0"/>
        <w:ind w:left="0" w:right="0" w:firstLine="540"/>
        <w:jc w:val="both"/>
        <w:rPr/>
      </w:pPr>
      <w:r>
        <w:rPr>
          <w:rFonts w:eastAsia="Times New Roman" w:cs="Times New Roman" w:ascii="Times New Roman" w:hAnsi="Times New Roman"/>
          <w:color w:val="000000"/>
          <w:sz w:val="28"/>
          <w:szCs w:val="28"/>
        </w:rPr>
        <w:t>1) копию свидетельства о регистрации в Государственном племенном регистре;</w:t>
      </w:r>
    </w:p>
    <w:p>
      <w:pPr>
        <w:pStyle w:val="ConsPlusNormal"/>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rPr>
        <w:t xml:space="preserve">2) копии племенных </w:t>
      </w:r>
      <w:r>
        <w:rPr>
          <w:rStyle w:val="ListLabel15"/>
          <w:rFonts w:eastAsia="Times New Roman" w:cs="Times New Roman" w:ascii="Times New Roman" w:hAnsi="Times New Roman"/>
          <w:b w:val="false"/>
          <w:bCs w:val="false"/>
          <w:color w:val="000000"/>
          <w:sz w:val="28"/>
          <w:szCs w:val="28"/>
        </w:rPr>
        <w:t>свидетельств</w:t>
      </w:r>
      <w:r>
        <w:rPr>
          <w:rFonts w:eastAsia="Times New Roman" w:cs="Times New Roman" w:ascii="Times New Roman" w:hAnsi="Times New Roman"/>
          <w:b w:val="false"/>
          <w:bCs w:val="false"/>
          <w:color w:val="000000"/>
          <w:sz w:val="28"/>
          <w:szCs w:val="28"/>
        </w:rPr>
        <w:t xml:space="preserve"> по формам, утвержденным приказом Министерства сельского хозяйства Российской Федерации от 14 ноября 2017 года № 577.</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Порядок подачи </w:t>
      </w:r>
      <w:r>
        <w:rPr>
          <w:rFonts w:eastAsia="Times New Roman" w:cs="Times New Roman" w:ascii="Times New Roman" w:hAnsi="Times New Roman"/>
          <w:b/>
          <w:color w:val="auto"/>
          <w:kern w:val="0"/>
          <w:sz w:val="28"/>
          <w:szCs w:val="28"/>
          <w:lang w:val="ru-RU" w:eastAsia="ru-RU" w:bidi="ar-SA"/>
        </w:rPr>
        <w:t>заявок</w:t>
      </w:r>
      <w:r>
        <w:rPr>
          <w:rFonts w:eastAsia="Times New Roman" w:cs="Times New Roman" w:ascii="Times New Roman" w:hAnsi="Times New Roman"/>
          <w:b/>
          <w:sz w:val="28"/>
          <w:szCs w:val="28"/>
          <w:lang w:eastAsia="ru-RU"/>
        </w:rPr>
        <w:t>:</w:t>
      </w:r>
    </w:p>
    <w:p>
      <w:pPr>
        <w:pStyle w:val="ConsPlusNormal"/>
        <w:shd w:val="clear" w:color="auto" w:fill="FFFFFF"/>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lang w:eastAsia="ru-RU"/>
        </w:rPr>
        <w:t xml:space="preserve">Для получения субсидий участники отбора в течение 30 календарных дней со дня, следующего за размещением на едином портале и на официальном сайте министерства (www.minagro.saratov.gov.ru) в разделе «Субсидии на развитие сельского хозяйства» объявления о дате приема документов предоставляют заявку в соответствии с приложением 4 к Положению. Заявка представляется в бумажном виде в одном экземпляре. </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b/>
          <w:sz w:val="28"/>
          <w:szCs w:val="28"/>
          <w:lang w:eastAsia="ru-RU"/>
        </w:rPr>
        <w:t>Порядок отзыва и возврата заявок и документов участником отбора:</w:t>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sz w:val="28"/>
          <w:szCs w:val="28"/>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Times New Roman" w:hAnsi="Times New Roman"/>
          <w:color w:val="000000"/>
          <w:kern w:val="0"/>
          <w:sz w:val="28"/>
          <w:szCs w:val="28"/>
          <w:lang w:val="ru-RU" w:eastAsia="ru-RU" w:bidi="ar-SA"/>
        </w:rPr>
        <w:t>окончания срока отбора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shd w:val="clear" w:color="auto" w:fill="FFFFFF"/>
        <w:suppressAutoHyphens w:val="true"/>
        <w:bidi w:val="0"/>
        <w:spacing w:lineRule="auto" w:line="240" w:before="0" w:after="0"/>
        <w:ind w:left="0" w:right="0" w:firstLine="567"/>
        <w:jc w:val="both"/>
        <w:rPr>
          <w:rFonts w:ascii="Calibri" w:hAnsi="Calibri" w:eastAsia="Calibri" w:cs="" w:asciiTheme="minorHAnsi" w:cstheme="minorBidi" w:eastAsiaTheme="minorHAnsi" w:hAnsiTheme="minorHAnsi"/>
          <w:b/>
          <w:b/>
          <w:bCs/>
        </w:rPr>
      </w:pPr>
      <w:r>
        <w:rPr>
          <w:rFonts w:eastAsia="Times New Roman" w:cs="Times New Roman" w:ascii="Times New Roman" w:hAnsi="Times New Roman"/>
          <w:b/>
          <w:bCs/>
          <w:sz w:val="28"/>
          <w:szCs w:val="28"/>
          <w:lang w:eastAsia="ru-RU"/>
        </w:rPr>
        <w:t>Основанием для отклонения заявки является: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участника отбора требованиям, установленным настоящим Положением;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подача участником отбора заявки после даты и (или) времени, определенных для подачи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Правила рассмотрения заявлений и документов участников отбора:</w:t>
      </w:r>
    </w:p>
    <w:p>
      <w:pPr>
        <w:pStyle w:val="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Министерство в рамках предоставленных полномочий: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uto" w:line="240" w:before="0" w:after="0"/>
        <w:ind w:firstLine="710"/>
        <w:jc w:val="both"/>
        <w:rPr>
          <w:i w:val="false"/>
          <w:i w:val="false"/>
          <w:iCs w:val="false"/>
        </w:rPr>
      </w:pPr>
      <w:r>
        <w:rPr>
          <w:rFonts w:eastAsia="Calibri" w:cs="Times New Roman" w:ascii="Times New Roman" w:hAnsi="Times New Roman"/>
          <w:b/>
          <w:i w:val="false"/>
          <w:iCs w:val="false"/>
          <w:sz w:val="28"/>
          <w:szCs w:val="28"/>
          <w:lang w:eastAsia="ru-RU"/>
        </w:rPr>
        <w:t>Срок, в течение которого победитель (победители) отбора должен подписать соглашение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val="false"/>
          <w:b w:val="false"/>
          <w:bCs w:val="false"/>
          <w:i w:val="false"/>
          <w:i w:val="false"/>
          <w:iCs w:val="false"/>
          <w:color w:val="000000"/>
          <w:sz w:val="28"/>
        </w:rPr>
      </w:pPr>
      <w:r>
        <w:rPr>
          <w:rFonts w:eastAsia="Times New Roman" w:cs="Times New Roman" w:ascii="Times New Roman" w:hAnsi="Times New Roman"/>
          <w:b w:val="false"/>
          <w:bCs w:val="false"/>
          <w:i w:val="false"/>
          <w:iCs w:val="false"/>
          <w:color w:val="000000"/>
          <w:sz w:val="28"/>
          <w:szCs w:val="28"/>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710"/>
        <w:jc w:val="both"/>
        <w:rPr>
          <w:b/>
          <w:b/>
          <w:bCs/>
          <w:i w:val="false"/>
          <w:i w:val="false"/>
          <w:iCs w:val="false"/>
        </w:rPr>
      </w:pPr>
      <w:r>
        <w:rPr>
          <w:rFonts w:eastAsia="Calibri" w:cs="Times New Roman" w:ascii="Times New Roman" w:hAnsi="Times New Roman"/>
          <w:b/>
          <w:bCs/>
          <w:i w:val="false"/>
          <w:iCs w:val="false"/>
          <w:sz w:val="28"/>
          <w:szCs w:val="28"/>
        </w:rPr>
        <w:t>Условия признания победителя (победителей) отбора уклонившимся от заключения соглашения о предоставлении субсидий:</w:t>
      </w:r>
    </w:p>
    <w:p>
      <w:pPr>
        <w:pStyle w:val="Normal"/>
        <w:widowControl w:val="false"/>
        <w:shd w:val="clear" w:color="auto" w:fill="FFFFFF"/>
        <w:spacing w:lineRule="auto" w:line="240" w:before="0" w:after="0"/>
        <w:ind w:firstLine="710"/>
        <w:jc w:val="both"/>
        <w:rPr/>
      </w:pPr>
      <w:r>
        <w:rPr>
          <w:rFonts w:eastAsia="Times New Roman" w:cs="Times New Roman" w:ascii="Times New Roman" w:hAnsi="Times New Roman"/>
          <w:b w:val="false"/>
          <w:bCs w:val="false"/>
          <w:color w:val="000000"/>
          <w:kern w:val="0"/>
          <w:sz w:val="28"/>
          <w:szCs w:val="28"/>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Normal"/>
        <w:widowControl w:val="false"/>
        <w:shd w:val="clear" w:color="auto" w:fill="FFFFFF"/>
        <w:spacing w:lineRule="auto" w:line="240" w:before="0" w:after="0"/>
        <w:ind w:firstLine="71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Дата размещения результатов отбора:</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В течение 3 рабочих дней со дня принятия решения </w:t>
      </w:r>
      <w:r>
        <w:rPr>
          <w:rFonts w:eastAsia="Times New Roman" w:cs="Times New Roman" w:ascii="Times New Roman" w:hAnsi="Times New Roman"/>
          <w:color w:val="000000"/>
          <w:kern w:val="0"/>
          <w:sz w:val="28"/>
          <w:szCs w:val="28"/>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Times New Roman" w:hAnsi="Times New Roman"/>
          <w:color w:val="000000"/>
          <w:sz w:val="28"/>
          <w:szCs w:val="28"/>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b/>
          <w:sz w:val="28"/>
          <w:szCs w:val="28"/>
          <w:lang w:eastAsia="ru-RU"/>
        </w:rPr>
        <w:t xml:space="preserve"> </w:t>
      </w:r>
    </w:p>
    <w:sectPr>
      <w:type w:val="nextPage"/>
      <w:pgSz w:w="11906" w:h="16838"/>
      <w:pgMar w:left="1701" w:right="851" w:header="0" w:top="555"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character" w:styleId="ListLabel1">
    <w:name w:val="ListLabel 1"/>
    <w:qFormat/>
    <w:rPr>
      <w:rFonts w:ascii="Times New Roman" w:hAnsi="Times New Roman" w:eastAsia="Calibri" w:cs="Times New Roman"/>
      <w:color w:val="000000"/>
      <w:sz w:val="28"/>
      <w:szCs w:val="28"/>
      <w:u w:val="none"/>
      <w:lang w:val="en-US"/>
    </w:rPr>
  </w:style>
  <w:style w:type="character" w:styleId="ListLabel2">
    <w:name w:val="ListLabel 2"/>
    <w:qFormat/>
    <w:rPr>
      <w:rFonts w:ascii="Times New Roman" w:hAnsi="Times New Roman" w:eastAsia="Calibri" w:cs="Times New Roman"/>
      <w:color w:val="000000"/>
      <w:sz w:val="28"/>
      <w:szCs w:val="28"/>
      <w:u w:val="none"/>
    </w:rPr>
  </w:style>
  <w:style w:type="character" w:styleId="ListLabel3">
    <w:name w:val="ListLabel 3"/>
    <w:qFormat/>
    <w:rPr>
      <w:rFonts w:eastAsia="Times New Roman" w:cs="Times New Roman"/>
      <w:b/>
      <w:bCs/>
      <w:sz w:val="28"/>
      <w:szCs w:val="28"/>
      <w:lang w:eastAsia="ru-RU"/>
    </w:rPr>
  </w:style>
  <w:style w:type="character" w:styleId="ListLabel15">
    <w:name w:val="ListLabel 15"/>
    <w:qFormat/>
    <w:rPr>
      <w:rFonts w:ascii="Times New Roman" w:hAnsi="Times New Roman" w:eastAsia="Times New Roman" w:cs="Times New Roman"/>
      <w:color w:val="000000"/>
      <w:sz w:val="28"/>
    </w:rPr>
  </w:style>
  <w:style w:type="character" w:styleId="ListLabel16">
    <w:name w:val="ListLabel 16"/>
    <w:qFormat/>
    <w:rPr>
      <w:rFonts w:ascii="Times New Roman" w:hAnsi="Times New Roman" w:eastAsia="Calibri" w:cs="Times New Roman"/>
      <w:color w:val="000000"/>
      <w:sz w:val="28"/>
      <w:szCs w:val="28"/>
      <w:u w:val="none"/>
      <w:lang w:val="en-US"/>
    </w:rPr>
  </w:style>
  <w:style w:type="character" w:styleId="ListLabel17">
    <w:name w:val="ListLabel 17"/>
    <w:qFormat/>
    <w:rPr>
      <w:rFonts w:ascii="Times New Roman" w:hAnsi="Times New Roman" w:eastAsia="Calibri" w:cs="Times New Roman"/>
      <w:color w:val="000000"/>
      <w:sz w:val="28"/>
      <w:szCs w:val="28"/>
      <w:u w:val="none"/>
    </w:rPr>
  </w:style>
  <w:style w:type="character" w:styleId="ListLabel18">
    <w:name w:val="ListLabel 18"/>
    <w:qFormat/>
    <w:rPr>
      <w:rFonts w:eastAsia="Times New Roman" w:cs="Times New Roman"/>
      <w:b/>
      <w:bCs/>
      <w:sz w:val="28"/>
      <w:szCs w:val="28"/>
      <w:lang w:eastAsia="ru-RU"/>
    </w:rPr>
  </w:style>
  <w:style w:type="character" w:styleId="ListLabel19">
    <w:name w:val="ListLabel 19"/>
    <w:qFormat/>
    <w:rPr>
      <w:rFonts w:ascii="Times New Roman" w:hAnsi="Times New Roman" w:eastAsia="Calibri" w:cs="Times New Roman"/>
      <w:color w:val="000000"/>
      <w:sz w:val="28"/>
      <w:szCs w:val="28"/>
      <w:u w:val="none"/>
      <w:lang w:val="en-US"/>
    </w:rPr>
  </w:style>
  <w:style w:type="character" w:styleId="ListLabel20">
    <w:name w:val="ListLabel 20"/>
    <w:qFormat/>
    <w:rPr>
      <w:rFonts w:ascii="Times New Roman" w:hAnsi="Times New Roman" w:eastAsia="Calibri" w:cs="Times New Roman"/>
      <w:color w:val="000000"/>
      <w:sz w:val="28"/>
      <w:szCs w:val="28"/>
      <w:u w:val="none"/>
    </w:rPr>
  </w:style>
  <w:style w:type="character" w:styleId="ListLabel21">
    <w:name w:val="ListLabel 21"/>
    <w:qFormat/>
    <w:rPr>
      <w:rFonts w:eastAsia="Times New Roman" w:cs="Times New Roman"/>
      <w:b/>
      <w:bCs/>
      <w:sz w:val="28"/>
      <w:szCs w:val="28"/>
      <w:lang w:eastAsia="ru-RU"/>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paragraph" w:styleId="ConsPlusTitle">
    <w:name w:val="ConsPlusTitle"/>
    <w:qFormat/>
    <w:pPr>
      <w:widowControl/>
      <w:suppressAutoHyphens w:val="true"/>
      <w:bidi w:val="0"/>
      <w:spacing w:before="0" w:after="0"/>
      <w:jc w:val="left"/>
    </w:pPr>
    <w:rPr>
      <w:rFonts w:ascii="Arial" w:hAnsi="Arial" w:eastAsia="Liberation Serif;Times New Roman" w:cs="Liberation Serif;Times New Roman"/>
      <w:b/>
      <w:i w:val="false"/>
      <w:strike w:val="false"/>
      <w:dstrike w:val="false"/>
      <w:color w:val="auto"/>
      <w:kern w:val="2"/>
      <w:sz w:val="20"/>
      <w:szCs w:val="24"/>
      <w:u w:val="none"/>
      <w:lang w:val="ru-RU" w:eastAsia="hi-I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Application>LibreOffice/6.1.3.2$Linux_X86_64 LibreOffice_project/10$Build-2</Application>
  <Pages>5</Pages>
  <Words>1472</Words>
  <Characters>10887</Characters>
  <CharactersWithSpaces>12306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2021-09-20T16:29:21Z</cp:lastPrinted>
  <dcterms:modified xsi:type="dcterms:W3CDTF">2021-09-20T16:29:26Z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