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color w:val="000000"/>
          <w:sz w:val="28"/>
        </w:rPr>
        <w:t xml:space="preserve">на возмещение части затрат </w:t>
      </w:r>
      <w:bookmarkStart w:id="0" w:name="__DdeLink__264_1495880161"/>
      <w:r>
        <w:rPr>
          <w:rFonts w:eastAsia="Times New Roman" w:cs="Times New Roman" w:ascii="Times New Roman" w:hAnsi="Times New Roman"/>
          <w:b/>
          <w:bCs/>
          <w:color w:val="000000"/>
          <w:sz w:val="28"/>
        </w:rPr>
        <w:t xml:space="preserve">на </w:t>
      </w:r>
      <w:r>
        <w:rPr>
          <w:rFonts w:eastAsia="Times New Roman" w:cs="Times New Roman" w:ascii="Times New Roman" w:hAnsi="Times New Roman"/>
          <w:b/>
          <w:bCs/>
          <w:color w:val="000000"/>
          <w:spacing w:val="-4"/>
          <w:kern w:val="2"/>
          <w:sz w:val="28"/>
          <w:szCs w:val="28"/>
          <w:lang w:eastAsia="ru-RU"/>
        </w:rPr>
        <w:t>приобретение племенного молодняка крупного рогатого скота мясного направления продуктивности (телки от 10 до 24 месяцев, нетели)</w:t>
      </w:r>
      <w:bookmarkEnd w:id="0"/>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субсиди</w:t>
      </w:r>
      <w:r>
        <w:rPr>
          <w:rStyle w:val="Strong"/>
          <w:rFonts w:cs="Times New Roman" w:ascii="Times New Roman" w:hAnsi="Times New Roman"/>
          <w:b w:val="false"/>
          <w:bCs w:val="false"/>
          <w:color w:val="000000"/>
          <w:sz w:val="28"/>
          <w:szCs w:val="28"/>
        </w:rPr>
        <w:t xml:space="preserve">й </w:t>
      </w:r>
      <w:r>
        <w:rPr>
          <w:rStyle w:val="Strong"/>
          <w:rFonts w:eastAsia="Times New Roman" w:cs="Times New Roman" w:ascii="Times New Roman" w:hAnsi="Times New Roman"/>
          <w:b w:val="false"/>
          <w:bCs w:val="false"/>
          <w:color w:val="000000"/>
          <w:sz w:val="28"/>
          <w:szCs w:val="28"/>
        </w:rPr>
        <w:t xml:space="preserve">на возмещение части затрат </w:t>
      </w:r>
      <w:r>
        <w:rPr>
          <w:rStyle w:val="Strong"/>
          <w:rFonts w:eastAsia="Times New Roman" w:cs="Times New Roman" w:ascii="Times New Roman" w:hAnsi="Times New Roman"/>
          <w:b w:val="false"/>
          <w:bCs w:val="false"/>
          <w:color w:val="000000"/>
          <w:sz w:val="28"/>
          <w:szCs w:val="28"/>
          <w:lang w:eastAsia="ru-RU"/>
        </w:rPr>
        <w:t xml:space="preserve">на </w:t>
      </w:r>
      <w:r>
        <w:rPr>
          <w:rStyle w:val="Strong"/>
          <w:rFonts w:eastAsia="Times New Roman" w:cs="Times New Roman" w:ascii="Times New Roman" w:hAnsi="Times New Roman"/>
          <w:b w:val="false"/>
          <w:bCs w:val="false"/>
          <w:color w:val="000000"/>
          <w:spacing w:val="-4"/>
          <w:kern w:val="2"/>
          <w:sz w:val="28"/>
          <w:szCs w:val="28"/>
          <w:lang w:eastAsia="ru-RU"/>
        </w:rPr>
        <w:t xml:space="preserve">приобретение племенного молодняка крупного рогатого скота мясного направления продуктивности (телки от 10 до 24 месяцев, нетели) </w:t>
      </w:r>
      <w:r>
        <w:rPr>
          <w:rFonts w:eastAsia="Times New Roman" w:cs="Times New Roman" w:ascii="Times New Roman" w:hAnsi="Times New Roman"/>
          <w:b w:val="false"/>
          <w:bCs w:val="false"/>
          <w:sz w:val="28"/>
          <w:szCs w:val="28"/>
          <w:lang w:eastAsia="ru-RU"/>
        </w:rPr>
        <w:t xml:space="preserve">в </w:t>
      </w:r>
      <w:r>
        <w:rPr>
          <w:rFonts w:eastAsia="Times New Roman" w:cs="Times New Roman" w:ascii="Times New Roman" w:hAnsi="Times New Roman"/>
          <w:sz w:val="28"/>
          <w:szCs w:val="28"/>
          <w:lang w:eastAsia="ru-RU"/>
        </w:rPr>
        <w:t>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sz w:val="28"/>
          <w:szCs w:val="28"/>
          <w:lang w:eastAsia="ru-RU"/>
        </w:rPr>
        <w:t>9</w:t>
      </w:r>
      <w:r>
        <w:rPr>
          <w:rFonts w:eastAsia="Times New Roman" w:cs="Times New Roman" w:ascii="Times New Roman" w:hAnsi="Times New Roman"/>
          <w:color w:val="000000"/>
          <w:kern w:val="0"/>
          <w:sz w:val="28"/>
          <w:szCs w:val="28"/>
          <w:lang w:val="ru-RU" w:eastAsia="ru-RU" w:bidi="ar-SA"/>
        </w:rPr>
        <w:t xml:space="preserve"> ноября 2021 года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lang w:eastAsia="ru-RU"/>
        </w:rPr>
        <w:t xml:space="preserve"> декабря 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Times New Roman" w:hAnsi="Times New Roman"/>
            <w:color w:val="000000"/>
            <w:sz w:val="28"/>
            <w:szCs w:val="28"/>
            <w:u w:val="none"/>
            <w:lang w:val="en-US"/>
          </w:rPr>
          <w:t>mcx</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saratov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gov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Times New Roman" w:hAnsi="Times New Roman" w:eastAsiaTheme="minorHAnsi"/>
          <w:color w:val="000000"/>
          <w:kern w:val="0"/>
          <w:sz w:val="28"/>
          <w:szCs w:val="28"/>
          <w:lang w:val="ru-RU" w:eastAsia="en-US" w:bidi="ar-SA"/>
        </w:rPr>
        <w:t>племенное маточное поголовье сельскохозяйственных животных (в пересчете на условные головы)</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Style w:val="ListLabel3"/>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3)</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п</w:t>
      </w:r>
      <w:r>
        <w:rPr>
          <w:rFonts w:eastAsia="Times New Roman" w:cs="Times New Roman" w:ascii="Times New Roman" w:hAnsi="Times New Roman"/>
          <w:color w:val="000000"/>
          <w:sz w:val="28"/>
          <w:szCs w:val="28"/>
        </w:rPr>
        <w:t>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с</w:t>
      </w:r>
      <w:r>
        <w:rPr>
          <w:rFonts w:eastAsia="Times New Roman" w:cs="Times New Roman" w:ascii="Times New Roman" w:hAnsi="Times New Roman"/>
          <w:color w:val="000000"/>
          <w:sz w:val="28"/>
          <w:szCs w:val="28"/>
        </w:rPr>
        <w:t>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5</w:t>
      </w:r>
      <w:r>
        <w:rPr>
          <w:rFonts w:eastAsia="Times New Roman" w:cs="Times New Roman" w:ascii="Times New Roman" w:hAnsi="Times New Roman"/>
          <w:color w:val="000000"/>
          <w:sz w:val="28"/>
        </w:rPr>
        <w:t>) справк</w:t>
      </w:r>
      <w:r>
        <w:rPr>
          <w:rFonts w:eastAsia="Times New Roman" w:cs="Times New Roman" w:ascii="Times New Roman" w:hAnsi="Times New Roman"/>
          <w:color w:val="000000"/>
          <w:kern w:val="0"/>
          <w:sz w:val="28"/>
          <w:szCs w:val="20"/>
          <w:lang w:val="ru-RU" w:eastAsia="ru-RU" w:bidi="ar-SA"/>
        </w:rPr>
        <w:t>а</w:t>
      </w:r>
      <w:r>
        <w:rPr>
          <w:rFonts w:eastAsia="Times New Roman" w:cs="Times New Roman" w:ascii="Times New Roman" w:hAnsi="Times New Roman"/>
          <w:color w:val="000000"/>
          <w:sz w:val="28"/>
        </w:rPr>
        <w:t>-расчет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6</w:t>
      </w:r>
      <w:r>
        <w:rPr>
          <w:rFonts w:eastAsia="Times New Roman" w:cs="Times New Roman" w:ascii="Times New Roman" w:hAnsi="Times New Roman"/>
          <w:color w:val="000000"/>
          <w:sz w:val="28"/>
        </w:rPr>
        <w:t>) копию договора купли-продажи (иного договора), заключенного в текущем финансовом году;</w:t>
      </w:r>
    </w:p>
    <w:p>
      <w:pPr>
        <w:pStyle w:val="ConsPlusNormal"/>
        <w:spacing w:before="0" w:after="0"/>
        <w:ind w:left="0" w:right="0" w:firstLine="540"/>
        <w:jc w:val="both"/>
        <w:rPr/>
      </w:pPr>
      <w:r>
        <w:rPr>
          <w:rFonts w:eastAsia="Times New Roman" w:cs="Times New Roman" w:ascii="Times New Roman" w:hAnsi="Times New Roman"/>
          <w:color w:val="000000"/>
          <w:sz w:val="28"/>
        </w:rPr>
        <w:t>7) копии платежных документов;</w:t>
      </w:r>
    </w:p>
    <w:p>
      <w:pPr>
        <w:pStyle w:val="ConsPlusNormal"/>
        <w:spacing w:before="0" w:after="0"/>
        <w:ind w:left="0" w:right="0" w:firstLine="540"/>
        <w:jc w:val="both"/>
        <w:rPr/>
      </w:pPr>
      <w:r>
        <w:rPr>
          <w:rFonts w:eastAsia="Times New Roman" w:cs="Times New Roman" w:ascii="Times New Roman" w:hAnsi="Times New Roman"/>
          <w:color w:val="000000"/>
          <w:sz w:val="28"/>
        </w:rPr>
        <w:t>8) копии счетов-фактур (счетов);</w:t>
      </w:r>
    </w:p>
    <w:p>
      <w:pPr>
        <w:pStyle w:val="ConsPlusNormal"/>
        <w:spacing w:before="0" w:after="0"/>
        <w:ind w:left="0" w:right="0" w:firstLine="540"/>
        <w:jc w:val="both"/>
        <w:rPr/>
      </w:pPr>
      <w:r>
        <w:rPr>
          <w:rFonts w:eastAsia="Times New Roman" w:cs="Times New Roman" w:ascii="Times New Roman" w:hAnsi="Times New Roman"/>
          <w:color w:val="000000"/>
          <w:sz w:val="28"/>
        </w:rPr>
        <w:t>9) копии накладных;</w:t>
      </w:r>
    </w:p>
    <w:p>
      <w:pPr>
        <w:pStyle w:val="ConsPlusNormal"/>
        <w:spacing w:before="0" w:after="0"/>
        <w:ind w:left="0" w:right="0" w:firstLine="540"/>
        <w:jc w:val="both"/>
        <w:rPr/>
      </w:pPr>
      <w:r>
        <w:rPr>
          <w:rFonts w:eastAsia="Times New Roman" w:cs="Times New Roman" w:ascii="Times New Roman" w:hAnsi="Times New Roman"/>
          <w:color w:val="000000"/>
          <w:sz w:val="28"/>
        </w:rPr>
        <w:t>10) гарантийное письмо о сохранении приобретенного племенного поголовья сельскохозяйственных животных по состоянию на 1 января года, следующего за текущим финансовым годом;</w:t>
      </w:r>
    </w:p>
    <w:p>
      <w:pPr>
        <w:pStyle w:val="ConsPlusNormal"/>
        <w:spacing w:before="0" w:after="0"/>
        <w:ind w:left="0" w:right="0" w:firstLine="540"/>
        <w:jc w:val="both"/>
        <w:rPr/>
      </w:pPr>
      <w:r>
        <w:rPr>
          <w:rFonts w:eastAsia="Times New Roman" w:cs="Times New Roman" w:ascii="Times New Roman" w:hAnsi="Times New Roman"/>
          <w:color w:val="000000"/>
          <w:sz w:val="28"/>
        </w:rPr>
        <w:t>11) информацию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непрекращении на первое число месяца представления документов деятельности в качестве индивидуального предпринимателя;</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pPr>
      <w:r>
        <w:rPr>
          <w:rFonts w:eastAsia="Times New Roman" w:cs="Times New Roman" w:ascii="Times New Roman" w:hAnsi="Times New Roman"/>
          <w:b w:val="false"/>
          <w:bCs w:val="false"/>
          <w:color w:val="000000"/>
          <w:sz w:val="28"/>
          <w:szCs w:val="28"/>
        </w:rPr>
        <w:t>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Заявитель вправе по собственной инициативе представить в министерство:</w:t>
      </w:r>
    </w:p>
    <w:p>
      <w:pPr>
        <w:pStyle w:val="ConsPlusNormal"/>
        <w:spacing w:lineRule="auto" w:line="240" w:before="0" w:after="0"/>
        <w:ind w:left="0" w:right="0" w:firstLine="540"/>
        <w:jc w:val="both"/>
        <w:rPr/>
      </w:pPr>
      <w:r>
        <w:rPr>
          <w:rFonts w:eastAsia="Times New Roman" w:cs="Times New Roman" w:ascii="Times New Roman" w:hAnsi="Times New Roman"/>
          <w:color w:val="000000"/>
          <w:sz w:val="28"/>
          <w:szCs w:val="28"/>
        </w:rPr>
        <w:t>1) копию свидетельства о регистрации в Государственном племенном регистре;</w:t>
      </w:r>
    </w:p>
    <w:p>
      <w:pPr>
        <w:pStyle w:val="ConsPlusNormal"/>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rPr>
        <w:t xml:space="preserve">2) копии племенных </w:t>
      </w:r>
      <w:r>
        <w:rPr>
          <w:rStyle w:val="ListLabel15"/>
          <w:rFonts w:eastAsia="Times New Roman" w:cs="Times New Roman" w:ascii="Times New Roman" w:hAnsi="Times New Roman"/>
          <w:b w:val="false"/>
          <w:bCs w:val="false"/>
          <w:color w:val="000000"/>
          <w:sz w:val="28"/>
          <w:szCs w:val="28"/>
        </w:rPr>
        <w:t>свидетельств</w:t>
      </w:r>
      <w:r>
        <w:rPr>
          <w:rFonts w:eastAsia="Times New Roman" w:cs="Times New Roman" w:ascii="Times New Roman" w:hAnsi="Times New Roman"/>
          <w:b w:val="false"/>
          <w:bCs w:val="false"/>
          <w:color w:val="000000"/>
          <w:sz w:val="28"/>
          <w:szCs w:val="28"/>
        </w:rPr>
        <w:t xml:space="preserve"> по формам, утвержденным приказом Министерства сельского хозяйства Российской Федерации от 14 ноября 2017 года № 577.</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555"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15">
    <w:name w:val="ListLabel 15"/>
    <w:qFormat/>
    <w:rPr>
      <w:rFonts w:ascii="Times New Roman" w:hAnsi="Times New Roman" w:eastAsia="Times New Roman" w:cs="Times New Roman"/>
      <w:color w:val="000000"/>
      <w:sz w:val="28"/>
    </w:rPr>
  </w:style>
  <w:style w:type="character" w:styleId="ListLabel16">
    <w:name w:val="ListLabel 16"/>
    <w:qFormat/>
    <w:rPr>
      <w:rFonts w:ascii="Times New Roman" w:hAnsi="Times New Roman" w:eastAsia="Calibri" w:cs="Times New Roman"/>
      <w:color w:val="000000"/>
      <w:sz w:val="28"/>
      <w:szCs w:val="28"/>
      <w:u w:val="none"/>
      <w:lang w:val="en-US"/>
    </w:rPr>
  </w:style>
  <w:style w:type="character" w:styleId="ListLabel17">
    <w:name w:val="ListLabel 17"/>
    <w:qFormat/>
    <w:rPr>
      <w:rFonts w:ascii="Times New Roman" w:hAnsi="Times New Roman" w:eastAsia="Calibri" w:cs="Times New Roman"/>
      <w:color w:val="000000"/>
      <w:sz w:val="28"/>
      <w:szCs w:val="28"/>
      <w:u w:val="none"/>
    </w:rPr>
  </w:style>
  <w:style w:type="character" w:styleId="ListLabel18">
    <w:name w:val="ListLabel 18"/>
    <w:qFormat/>
    <w:rPr>
      <w:rFonts w:eastAsia="Times New Roman" w:cs="Times New Roman"/>
      <w:b/>
      <w:bCs/>
      <w:sz w:val="28"/>
      <w:szCs w:val="28"/>
      <w:lang w:eastAsia="ru-RU"/>
    </w:rPr>
  </w:style>
  <w:style w:type="character" w:styleId="ListLabel19">
    <w:name w:val="ListLabel 19"/>
    <w:qFormat/>
    <w:rPr>
      <w:rFonts w:ascii="Times New Roman" w:hAnsi="Times New Roman" w:eastAsia="Calibri" w:cs="Times New Roman"/>
      <w:color w:val="000000"/>
      <w:sz w:val="28"/>
      <w:szCs w:val="28"/>
      <w:u w:val="none"/>
      <w:lang w:val="en-US"/>
    </w:rPr>
  </w:style>
  <w:style w:type="character" w:styleId="ListLabel20">
    <w:name w:val="ListLabel 20"/>
    <w:qFormat/>
    <w:rPr>
      <w:rFonts w:ascii="Times New Roman" w:hAnsi="Times New Roman" w:eastAsia="Calibri" w:cs="Times New Roman"/>
      <w:color w:val="000000"/>
      <w:sz w:val="28"/>
      <w:szCs w:val="28"/>
      <w:u w:val="none"/>
    </w:rPr>
  </w:style>
  <w:style w:type="character" w:styleId="ListLabel21">
    <w:name w:val="ListLabel 21"/>
    <w:qFormat/>
    <w:rPr>
      <w:rFonts w:eastAsia="Times New Roman" w:cs="Times New Roman"/>
      <w:b/>
      <w:bCs/>
      <w:sz w:val="28"/>
      <w:szCs w:val="28"/>
      <w:lang w:eastAsia="ru-RU"/>
    </w:rPr>
  </w:style>
  <w:style w:type="character" w:styleId="ListLabel22">
    <w:name w:val="ListLabel 22"/>
    <w:qFormat/>
    <w:rPr>
      <w:rFonts w:ascii="Times New Roman" w:hAnsi="Times New Roman" w:eastAsia="Calibri" w:cs="Times New Roman"/>
      <w:color w:val="000000"/>
      <w:sz w:val="28"/>
      <w:szCs w:val="28"/>
      <w:u w:val="none"/>
      <w:lang w:val="en-US"/>
    </w:rPr>
  </w:style>
  <w:style w:type="character" w:styleId="ListLabel23">
    <w:name w:val="ListLabel 23"/>
    <w:qFormat/>
    <w:rPr>
      <w:rFonts w:ascii="Times New Roman" w:hAnsi="Times New Roman" w:eastAsia="Calibri" w:cs="Times New Roman"/>
      <w:color w:val="000000"/>
      <w:sz w:val="28"/>
      <w:szCs w:val="28"/>
      <w:u w:val="none"/>
    </w:rPr>
  </w:style>
  <w:style w:type="character" w:styleId="ListLabel24">
    <w:name w:val="ListLabel 24"/>
    <w:qFormat/>
    <w:rPr>
      <w:rFonts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LibreOffice/6.1.3.2$Linux_X86_64 LibreOffice_project/10$Build-2</Application>
  <Pages>5</Pages>
  <Words>1475</Words>
  <Characters>10921</Characters>
  <CharactersWithSpaces>12344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2021-03-21T11:48:00Z</cp:lastPrinted>
  <dcterms:modified xsi:type="dcterms:W3CDTF">2021-11-01T15:23:05Z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