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PT Astra Serif" w:hAnsi="PT Astra Serif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PT Astra Serif" w:hAnsi="PT Astra Serif"/>
          <w:b/>
          <w:sz w:val="28"/>
          <w:szCs w:val="28"/>
        </w:rPr>
        <w:t>в 2022 году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PT Astra Serif" w:hAnsi="PT Astra Serif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@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PT Astra Serif" w:hAnsi="PT Astra Serif"/>
          <w:sz w:val="28"/>
          <w:szCs w:val="28"/>
        </w:rPr>
        <w:t xml:space="preserve"> с 9.00     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1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sz w:val="28"/>
          <w:szCs w:val="28"/>
        </w:rPr>
        <w:t>августа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2022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до 18.00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12 августа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2022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 размера стоимости работ на     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 в текущем финансовом году и предыдущем финансовом году, на основании утвержденного Протокола заседания комиссии по организации и проведению отбора проектов мелиорации Министерства сельского хозяйства Российской Федерации в рамках мероприятий: гидромелиоративные мероприятия, культуртехнические мероприятия и </w:t>
      </w:r>
      <w:r>
        <w:rPr>
          <w:rFonts w:eastAsia="Calibri" w:cs="Times New Roman" w:ascii="PT Astra Serif" w:hAnsi="PT Astra Serif"/>
          <w:b w:val="false"/>
          <w:bCs w:val="false"/>
          <w:sz w:val="28"/>
          <w:szCs w:val="28"/>
        </w:rPr>
        <w:t>«Экспорт продукции АПК».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uppressAutoHyphens w:val="false"/>
        <w:overflowPunct w:val="false"/>
        <w:spacing w:lineRule="auto" w:line="228" w:before="0" w:after="0"/>
        <w:ind w:firstLine="540"/>
        <w:contextualSpacing/>
        <w:jc w:val="both"/>
        <w:rPr/>
      </w:pPr>
      <w:r>
        <w:rPr>
          <w:rStyle w:val="ListLabel44"/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</w:r>
      <w:hyperlink r:id="rId3">
        <w:r>
          <w:rPr>
            <w:rStyle w:val="ListLabel44"/>
            <w:rFonts w:eastAsia="Tahoma" w:cs="Times New Roman" w:ascii="PT Astra Serif" w:hAnsi="PT Astra Serif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>
      <w:pPr>
        <w:pStyle w:val="Normal"/>
        <w:widowControl w:val="false"/>
        <w:suppressAutoHyphens w:val="false"/>
        <w:overflowPunct w:val="false"/>
        <w:spacing w:lineRule="auto" w:line="228" w:before="0" w:after="0"/>
        <w:ind w:firstLine="540"/>
        <w:contextualSpacing/>
        <w:jc w:val="both"/>
        <w:rPr/>
      </w:pPr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</w:t>
      </w:r>
      <w:hyperlink r:id="rId4">
        <w:r>
          <w:rPr>
            <w:rStyle w:val="ListLabel44"/>
            <w:rFonts w:eastAsia="Tahoma" w:cs="Times New Roman" w:ascii="PT Astra Serif" w:hAnsi="PT Astra Serif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сельскохозяйственных угодий, вовлеченных в оборот за счет проведения культуртехнических мероприятий;</w:t>
      </w:r>
    </w:p>
    <w:p>
      <w:pPr>
        <w:pStyle w:val="Normal"/>
        <w:widowControl w:val="false"/>
        <w:suppressAutoHyphens w:val="false"/>
        <w:overflowPunct w:val="false"/>
        <w:spacing w:lineRule="auto" w:line="228" w:before="0" w:after="0"/>
        <w:ind w:firstLine="540"/>
        <w:contextualSpacing/>
        <w:jc w:val="both"/>
        <w:rPr>
          <w:rFonts w:ascii="PT Astra Serif" w:hAnsi="PT Astra Serif"/>
        </w:rPr>
      </w:pPr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  <w:t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cs="Times New Roman" w:ascii="PT Astra Serif" w:hAnsi="PT Astra Serif"/>
          <w:b/>
          <w:sz w:val="28"/>
          <w:szCs w:val="28"/>
        </w:rPr>
        <w:t>малого предпринимательства</w:t>
      </w:r>
      <w:r>
        <w:rPr>
          <w:rFonts w:cs="Times New Roman" w:ascii="PT Astra Serif" w:hAnsi="PT Astra Serif"/>
          <w:sz w:val="28"/>
          <w:szCs w:val="28"/>
        </w:rPr>
        <w:t xml:space="preserve"> в соответствии с Федеральным </w:t>
      </w:r>
      <w:hyperlink r:id="rId5">
        <w:r>
          <w:rPr>
            <w:rStyle w:val="ListLabel3"/>
            <w:rFonts w:cs="Times New Roman" w:ascii="PT Astra Serif" w:hAnsi="PT Astra Serif"/>
            <w:sz w:val="28"/>
            <w:szCs w:val="28"/>
          </w:rPr>
          <w:t>законом</w:t>
        </w:r>
      </w:hyperlink>
      <w:r>
        <w:rPr>
          <w:rFonts w:cs="Times New Roman" w:ascii="PT Astra Serif" w:hAnsi="PT Astra Serif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>
      <w:pPr>
        <w:pStyle w:val="ConsPlusNonformat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ab/>
        <w:t xml:space="preserve">Требования </w:t>
      </w:r>
      <w:r>
        <w:rPr>
          <w:rFonts w:eastAsia="Calibri" w:cs="Times New Roman" w:ascii="PT Astra Serif" w:hAnsi="PT Astra Serif"/>
          <w:spacing w:val="-4"/>
          <w:sz w:val="28"/>
          <w:szCs w:val="28"/>
        </w:rPr>
        <w:t>(условия),</w:t>
      </w: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PT Astra Serif" w:hAnsi="PT Astra Serif"/>
          <w:b/>
          <w:sz w:val="28"/>
          <w:szCs w:val="28"/>
        </w:rPr>
        <w:t>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на первое число месяца, в котором подается заявка, должен соответствовать следующим требованиям: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и о физическом лице – производителе товаров, работ, услуг, являющемся участником отбора;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8"/>
          <w:szCs w:val="28"/>
        </w:rPr>
        <w:tab/>
        <w:t xml:space="preserve">участник отбора не должен получать средства из областного бюджета на основании иных нормативных правовых актов Саратовской области на цели, указанные в </w:t>
      </w:r>
      <w:r>
        <w:rPr>
          <w:rFonts w:ascii="PT Astra Serif" w:hAnsi="PT Astra Serif"/>
          <w:color w:val="auto"/>
          <w:sz w:val="28"/>
          <w:szCs w:val="28"/>
        </w:rPr>
        <w:t>1.</w:t>
      </w:r>
      <w:hyperlink r:id="rId6">
        <w:r>
          <w:rPr>
            <w:rStyle w:val="ListLabel2"/>
            <w:rFonts w:ascii="PT Astra Serif" w:hAnsi="PT Astra Serif"/>
            <w:color w:val="auto"/>
            <w:sz w:val="28"/>
            <w:szCs w:val="28"/>
          </w:rPr>
          <w:t>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 xml:space="preserve"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</w:t>
      </w:r>
      <w:bookmarkStart w:id="0" w:name="__DdeLink__566_3855130838"/>
      <w:bookmarkStart w:id="1" w:name="__DdeLink__552_1548940070"/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>комплекса Саратовской области</w:t>
      </w:r>
      <w:bookmarkEnd w:id="0"/>
      <w:bookmarkEnd w:id="1"/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>»</w:t>
      </w:r>
      <w:r>
        <w:rPr>
          <w:rFonts w:ascii="PT Astra Serif" w:hAnsi="PT Astra Serif"/>
          <w:b w:val="false"/>
          <w:bCs w:val="false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Перечень документов, представляемых участником отбора для получения субсидии по гидромелиоративным мероприятиям: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1. Получателям субсидии производится выплата на гидромелиоративные мероприятия,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плата производится за приобретенные и установленные на участке орошения новые поливные и распределительные трубопроводы, новые дождевальные машины и установки, дождевальные и поливные аппараты, насосно-силовое и электросиловое оборудование, запорно-регулирующую арматуру и фитинги оросительной сети, оборудования для дозирования и внесения удобрений, за строительно-монтажные работы, включенные в сводный сметный расчет стоимости строительства, реконструкции, технического перевооружения (в том числе приобретенные в лизинг), за изготовление проектно-сметной документации и проведение экспертизы, при условии ввода в эксплуатацию мелиорируемых земель.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заявление на участие в отборе по форме согласно приложению 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платёжных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приобретения оборудования в лизинг, договор лизинга на приобретённое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реорганизации 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                           50 процентов;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 отсутствии в реестре </w:t>
      </w:r>
      <w:r>
        <w:rPr>
          <w:rFonts w:eastAsia="Tahoma" w:ascii="PT Astra Serif" w:hAnsi="PT Astra Serif"/>
          <w:color w:val="auto"/>
          <w:kern w:val="0"/>
          <w:sz w:val="28"/>
          <w:szCs w:val="28"/>
        </w:rPr>
        <w:t>недобросовестных поставщиков (подрядчиков, исполнителей) (указывается при участии в отборе в 2022 году)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части затрат, связанных с проведением строительно-монтажных работ: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о приемке выполненных работ по форме № КС-2;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справки о стоимости выполненных работ и затрат по форме № КС-3;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строительно-монтажных работ с приложение копий платежных документов, подтверждающих оплату выполненных работ (при выполнении работ подрядным способом);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выполнения строительно-монтажных работ сельскохозяйственными товаропроизводителями самостоятельно: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стоимость использованных в строительно-монтажных работах расходных материалов: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на оплату труда работников, занятых на строительных работах хозспособом, в том числе отчисления на социальные нужды от фонда оплаты труда;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по содержанию и эксплуатации строительных машин и механизмов;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оплату строительно-монтажных работ, технологического оборудования и материалов, платежных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товарных накладных или универсальных передаточных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работ по строительству, реконструкции и техническому перевооружению мелиоративных систем общего и индивидуального пользования, включающих отдельно расположенные гидротехнические сооружения, с приложением копий свидетельства о допуске к соответствующим видам работ и графика выполнения строительно-монтажных работ, а также договоров на поставку оборудования, материалов;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правоустанавлювающие документы на оросительные системы общего и индивидуального пользования и отдельно расположенные гидротехнические сооружения (свидетельство о праве собственности, реестры договоров аренды имущества сроком более одного года или в случае аренды имущественной доля (пая) — реестры договоров аренды имущественной доли (пая) сроком более одного года, справка о балансовой принадлежности имущества), заверенные в установленном законодательством Российской Федерации порядке (представляется в случае реконструкции существующих оросительных систем, если права </w:t>
      </w:r>
      <w:r>
        <w:rPr>
          <w:rFonts w:eastAsia="Tahoma" w:ascii="PT Astra Serif" w:hAnsi="PT Astra Serif"/>
          <w:color w:val="auto"/>
          <w:kern w:val="0"/>
          <w:sz w:val="28"/>
          <w:szCs w:val="28"/>
        </w:rPr>
        <w:t>на указанные объекты не зарегистрированы в Едином государственном реестре недвижимости</w:t>
      </w:r>
      <w:r>
        <w:rPr>
          <w:rFonts w:ascii="PT Astra Serif" w:hAnsi="PT Astra Serif"/>
          <w:sz w:val="28"/>
          <w:szCs w:val="28"/>
        </w:rPr>
        <w:t>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Получателям субсидии производится выплата на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рыхление, пескование, глинование, землевание, плантаж и первичная обработка почвы: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заявление на участие в отборе по форме согласно приложению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проект мелиорации;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PT Astra Serif" w:ascii="PT Astra Serif" w:hAnsi="PT Astra Serif"/>
          <w:sz w:val="28"/>
          <w:szCs w:val="28"/>
          <w:lang w:eastAsia="ru-RU"/>
        </w:rPr>
        <w:tab/>
        <w:t>До</w:t>
      </w:r>
      <w:r>
        <w:rPr>
          <w:rFonts w:eastAsia="Calibri" w:cs="Times New Roman" w:ascii="PT Astra Serif" w:hAnsi="PT Astra Serif"/>
          <w:sz w:val="28"/>
          <w:szCs w:val="28"/>
        </w:rPr>
        <w:t>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ab/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ascii="PT Astra Serif" w:hAnsi="PT Astra Serif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Отдел м</w:t>
      </w:r>
      <w:r>
        <w:rPr>
          <w:rFonts w:cs="Times New Roman" w:ascii="PT Astra Serif" w:hAnsi="PT Astra Serif"/>
          <w:sz w:val="28"/>
          <w:szCs w:val="28"/>
        </w:rPr>
        <w:t>елиорации и развития сельских территорий</w:t>
      </w:r>
      <w:r>
        <w:rPr>
          <w:rFonts w:ascii="PT Astra Serif" w:hAnsi="PT Astra Serif"/>
          <w:sz w:val="28"/>
          <w:szCs w:val="28"/>
        </w:rPr>
        <w:t xml:space="preserve">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Сотрудник отдела м</w:t>
      </w:r>
      <w:r>
        <w:rPr>
          <w:rFonts w:cs="Times New Roman" w:ascii="PT Astra Serif" w:hAnsi="PT Astra Serif"/>
          <w:sz w:val="28"/>
          <w:szCs w:val="28"/>
        </w:rPr>
        <w:t>елиорации и развития сельских территорий</w:t>
      </w:r>
      <w:r>
        <w:rPr>
          <w:rFonts w:ascii="PT Astra Serif" w:hAnsi="PT Astra Serif"/>
          <w:sz w:val="28"/>
          <w:szCs w:val="28"/>
        </w:rPr>
        <w:t xml:space="preserve">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PT Astra Serif" w:hAnsi="PT Astra Serif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PT Astra Serif" w:hAnsi="PT Astra Serif"/>
          <w:sz w:val="28"/>
          <w:szCs w:val="28"/>
        </w:rPr>
        <w:t xml:space="preserve"> 10 рабочих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7 рабочих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pacing w:val="-6"/>
          <w:sz w:val="28"/>
          <w:szCs w:val="28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PT Astra Serif" w:hAnsi="PT Astra Serif"/>
          <w:spacing w:val="-10"/>
          <w:sz w:val="28"/>
          <w:szCs w:val="28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Разъяснения положений объявления </w:t>
      </w:r>
      <w:r>
        <w:rPr>
          <w:rFonts w:cs="Times New Roman" w:ascii="PT Astra Serif" w:hAnsi="PT Astra Serif"/>
          <w:sz w:val="28"/>
          <w:szCs w:val="28"/>
        </w:rPr>
        <w:t xml:space="preserve">о проведении отбора на предоставление субсидии </w:t>
      </w:r>
      <w:r>
        <w:rPr>
          <w:rFonts w:eastAsia="Calibri" w:cs="Times New Roman" w:ascii="PT Astra Serif" w:hAnsi="PT Astra Serif"/>
          <w:sz w:val="28"/>
          <w:szCs w:val="28"/>
        </w:rPr>
        <w:t xml:space="preserve">осуществляется </w:t>
      </w:r>
      <w:r>
        <w:rPr>
          <w:rFonts w:cs="Times New Roman" w:ascii="PT Astra Serif" w:hAnsi="PT Astra Serif"/>
          <w:sz w:val="28"/>
          <w:szCs w:val="28"/>
        </w:rPr>
        <w:t>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PT Astra Serif" w:hAnsi="PT Astra Serif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  <w:highlight w:val="yellow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cs="Times New Roman" w:ascii="PT Astra Serif" w:hAnsi="PT Astra Serif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  </w:t>
      </w:r>
      <w:r>
        <w:rPr>
          <w:rFonts w:ascii="PT Astra Serif" w:hAnsi="PT Astra Serif"/>
          <w:color w:val="000000"/>
          <w:sz w:val="16"/>
          <w:szCs w:val="16"/>
        </w:rPr>
        <w:t xml:space="preserve">Приложение </w:t>
        <w:br/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на государственную поддержку сельского хозяйства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в области эффективного вовлечения в оборот земель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сельскохозяйственного назначения и развития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мелиоративного комплекса Саратовской области</w:t>
      </w:r>
    </w:p>
    <w:p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области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  <w:r>
        <w:rPr>
          <w:rFonts w:ascii="PT Astra Serif" w:hAnsi="PT Astra Serif"/>
        </w:rPr>
        <w:t>____________________________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both"/>
        <w:rPr>
          <w:rFonts w:ascii="PT Astra Serif" w:hAnsi="PT Astra Serif"/>
        </w:rPr>
      </w:pPr>
      <w:bookmarkStart w:id="3" w:name="P401"/>
      <w:bookmarkEnd w:id="3"/>
      <w:r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  <w:sz w:val="21"/>
          <w:szCs w:val="21"/>
        </w:rPr>
        <w:t xml:space="preserve">  </w:t>
      </w:r>
      <w:r>
        <w:rPr>
          <w:rFonts w:ascii="PT Astra Serif" w:hAnsi="PT Astra Serif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</w:t>
      </w:r>
      <w:r>
        <w:rPr>
          <w:rFonts w:ascii="PT Astra Serif" w:hAnsi="PT Astra Serif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</w:t>
      </w:r>
      <w:r>
        <w:rPr>
          <w:rFonts w:ascii="PT Astra Serif" w:hAnsi="PT Astra Serif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</w:t>
      </w:r>
      <w:r>
        <w:rPr>
          <w:rFonts w:ascii="PT Astra Serif" w:hAnsi="PT Astra Serif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cs="Times New Roman" w:ascii="PT Astra Serif" w:hAnsi="PT Astra Serif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</w:t>
      </w:r>
      <w:r>
        <w:rPr>
          <w:rFonts w:cs="Times New Roman" w:ascii="PT Astra Serif" w:hAnsi="PT Astra Serif"/>
          <w:sz w:val="21"/>
          <w:szCs w:val="21"/>
        </w:rPr>
        <w:t>от 24</w:t>
      </w:r>
      <w:r>
        <w:rPr>
          <w:rFonts w:cs="Times New Roman" w:ascii="PT Astra Serif" w:hAnsi="PT Astra Serif"/>
          <w:sz w:val="21"/>
          <w:szCs w:val="21"/>
        </w:rPr>
        <w:t xml:space="preserve"> мая 20</w:t>
      </w:r>
      <w:r>
        <w:rPr>
          <w:rFonts w:cs="Times New Roman" w:ascii="PT Astra Serif" w:hAnsi="PT Astra Serif"/>
          <w:sz w:val="21"/>
          <w:szCs w:val="21"/>
        </w:rPr>
        <w:t>22</w:t>
      </w:r>
      <w:r>
        <w:rPr>
          <w:rFonts w:cs="Times New Roman" w:ascii="PT Astra Serif" w:hAnsi="PT Astra Serif"/>
          <w:sz w:val="21"/>
          <w:szCs w:val="21"/>
        </w:rPr>
        <w:t xml:space="preserve"> года № </w:t>
      </w:r>
      <w:r>
        <w:rPr>
          <w:rFonts w:cs="Times New Roman" w:ascii="PT Astra Serif" w:hAnsi="PT Astra Serif"/>
          <w:sz w:val="21"/>
          <w:szCs w:val="21"/>
        </w:rPr>
        <w:t>410</w:t>
      </w:r>
      <w:r>
        <w:rPr>
          <w:rFonts w:cs="Times New Roman" w:ascii="PT Astra Serif" w:hAnsi="PT Astra Serif"/>
          <w:sz w:val="21"/>
          <w:szCs w:val="21"/>
        </w:rPr>
        <w:t xml:space="preserve">-П </w:t>
      </w:r>
      <w:r>
        <w:rPr>
          <w:rFonts w:cs="Times New Roman" w:ascii="PT Astra Serif" w:hAnsi="PT Astra Serif"/>
          <w:color w:val="000000"/>
          <w:spacing w:val="-1"/>
          <w:kern w:val="0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cs="Times New Roman" w:ascii="PT Astra Serif" w:hAnsi="PT Astra Serif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</w:t>
      </w:r>
      <w:r>
        <w:rPr>
          <w:rFonts w:ascii="PT Astra Serif" w:hAnsi="PT Astra Serif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276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32e9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4">
    <w:name w:val="ListLabel 24"/>
    <w:qFormat/>
    <w:rPr>
      <w:rFonts w:ascii="Times New Roman" w:hAnsi="Times New Roman" w:cs="Times New Roman"/>
      <w:sz w:val="28"/>
      <w:szCs w:val="28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7">
    <w:name w:val="ListLabel 27"/>
    <w:qFormat/>
    <w:rPr>
      <w:rFonts w:ascii="Times New Roman" w:hAnsi="Times New Roman" w:cs="Times New Roman"/>
      <w:sz w:val="28"/>
      <w:szCs w:val="28"/>
    </w:rPr>
  </w:style>
  <w:style w:type="character" w:styleId="ListLabel44">
    <w:name w:val="ListLabel 44"/>
    <w:qFormat/>
    <w:rPr>
      <w:rFonts w:eastAsia="Tahoma"/>
      <w:color w:val="auto"/>
      <w:kern w:val="0"/>
      <w:sz w:val="28"/>
      <w:szCs w:val="28"/>
    </w:rPr>
  </w:style>
  <w:style w:type="character" w:styleId="ListLabel56">
    <w:name w:val="ListLabel 56"/>
    <w:qFormat/>
    <w:rPr>
      <w:rFonts w:eastAsia="Tahoma"/>
      <w:color w:val="auto"/>
      <w:kern w:val="0"/>
      <w:sz w:val="28"/>
      <w:szCs w:val="28"/>
    </w:rPr>
  </w:style>
  <w:style w:type="character" w:styleId="ListLabel55">
    <w:name w:val="ListLabel 55"/>
    <w:qFormat/>
    <w:rPr>
      <w:color w:val="auto"/>
    </w:rPr>
  </w:style>
  <w:style w:type="character" w:styleId="ListLabel57">
    <w:name w:val="ListLabel 5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8">
    <w:name w:val="ListLabel 5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59">
    <w:name w:val="ListLabel 59"/>
    <w:qFormat/>
    <w:rPr>
      <w:rFonts w:ascii="Times New Roman" w:hAnsi="Times New Roman" w:eastAsia="Tahoma" w:cs="Times New Roman"/>
      <w:b w:val="false"/>
      <w:i w:val="false"/>
      <w:strike w:val="false"/>
      <w:dstrike w:val="false"/>
      <w:color w:val="auto"/>
      <w:kern w:val="0"/>
      <w:sz w:val="28"/>
      <w:szCs w:val="28"/>
      <w:u w:val="none"/>
    </w:rPr>
  </w:style>
  <w:style w:type="character" w:styleId="ListLabel60">
    <w:name w:val="ListLabel 60"/>
    <w:qFormat/>
    <w:rPr>
      <w:rFonts w:ascii="Times New Roman" w:hAnsi="Times New Roman" w:cs="Times New Roman"/>
      <w:sz w:val="28"/>
      <w:szCs w:val="28"/>
    </w:rPr>
  </w:style>
  <w:style w:type="character" w:styleId="ListLabel61">
    <w:name w:val="ListLabel 61"/>
    <w:qFormat/>
    <w:rPr>
      <w:rFonts w:ascii="Times New Roman" w:hAnsi="Times New Roman"/>
      <w:color w:val="auto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link w:val="ConsPlusNormal0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paragraph" w:styleId="Style22">
    <w:name w:val="Без интервала"/>
    <w:basedOn w:val="Style1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135A89FC6F6A699E66F52B3645A9B352D8D88B85C4563141139AA189DF81FD9F6141A791C9CEF47560C150310C4D19C2E9693343CE6D5149360DL" TargetMode="External"/><Relationship Id="rId4" Type="http://schemas.openxmlformats.org/officeDocument/2006/relationships/hyperlink" Target="consultantplus://offline/ref=135A89FC6F6A699E66F52B3645A9B352D8D88B85C4563141139AA189DF81FD9F6141A791C9CEF47366C150310C4D19C2E9693343CE6D5149360DL" TargetMode="External"/><Relationship Id="rId5" Type="http://schemas.openxmlformats.org/officeDocument/2006/relationships/hyperlink" Target="consultantplus://offline/ref=B0BE9BB6DC758A575EEBDC7D19D43E663294655DEDD661F16763AFB29AA0E7DC407BA42B1DC8D49F730471E8A5t7y8L" TargetMode="External"/><Relationship Id="rId6" Type="http://schemas.openxmlformats.org/officeDocument/2006/relationships/hyperlink" Target="consultantplus://offline/ref=28CFA9123725BC0E273712ECF5BBF8CBEF16104BB30EA582C6B6ABE6358941F82137FBFD3A695EAAA6FDD50936F0B4DA013136B757116FD5102E613AHEm5O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Application>LibreOffice/6.1.3.2$Linux_X86_64 LibreOffice_project/10$Build-2</Application>
  <Pages>8</Pages>
  <Words>2449</Words>
  <Characters>19144</Characters>
  <CharactersWithSpaces>22869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2022-07-26T15:37:13Z</cp:lastPrinted>
  <dcterms:modified xsi:type="dcterms:W3CDTF">2022-07-26T15:37:15Z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