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PT Astra Serif" w:hAnsi="PT Astra Serif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PT Astra Serif" w:hAnsi="PT Astra Serif"/>
          <w:b/>
          <w:sz w:val="28"/>
          <w:szCs w:val="28"/>
        </w:rPr>
        <w:t>в 2022 году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PT Astra Serif" w:hAnsi="PT Astra Serif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@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PT Astra Serif" w:hAnsi="PT Astra Serif"/>
          <w:sz w:val="28"/>
          <w:szCs w:val="28"/>
        </w:rPr>
        <w:t xml:space="preserve"> с 9.00     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7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sz w:val="28"/>
          <w:szCs w:val="28"/>
        </w:rPr>
        <w:t>ноября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2022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до 18.00 </w:t>
      </w:r>
      <w:r>
        <w:rPr>
          <w:rFonts w:eastAsia="Calibri" w:cs="Times New Roman" w:ascii="PT Astra Serif" w:hAnsi="PT Astra Serif"/>
          <w:sz w:val="28"/>
          <w:szCs w:val="28"/>
        </w:rPr>
        <w:t>1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 xml:space="preserve">8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ноября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2022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 в рамках мероприятий: гидромелиоративные мероприятия, культуртехнические мероприятия и </w:t>
      </w:r>
      <w:r>
        <w:rPr>
          <w:rFonts w:eastAsia="Calibri" w:cs="Times New Roman" w:ascii="PT Astra Serif" w:hAnsi="PT Astra Serif"/>
          <w:b w:val="false"/>
          <w:bCs w:val="false"/>
          <w:sz w:val="28"/>
          <w:szCs w:val="28"/>
        </w:rPr>
        <w:t>«Экспорт продукции АПК».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Style w:val="ListLabel44"/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</w:r>
      <w:hyperlink r:id="rId3">
        <w:r>
          <w:rPr>
            <w:rStyle w:val="ListLabel44"/>
            <w:rFonts w:eastAsia="Tahoma" w:cs="Times New Roman" w:ascii="PT Astra Serif" w:hAnsi="PT Astra Serif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</w:t>
      </w:r>
      <w:hyperlink r:id="rId4">
        <w:r>
          <w:rPr>
            <w:rStyle w:val="ListLabel44"/>
            <w:rFonts w:eastAsia="Tahoma" w:cs="Times New Roman" w:ascii="PT Astra Serif" w:hAnsi="PT Astra Serif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>
          <w:rFonts w:ascii="PT Astra Serif" w:hAnsi="PT Astra Serif"/>
        </w:rPr>
      </w:pPr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  <w:t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cs="Times New Roman" w:ascii="PT Astra Serif" w:hAnsi="PT Astra Serif"/>
          <w:b/>
          <w:sz w:val="28"/>
          <w:szCs w:val="28"/>
        </w:rPr>
        <w:t>малого предпринимательства</w:t>
      </w:r>
      <w:r>
        <w:rPr>
          <w:rFonts w:cs="Times New Roman" w:ascii="PT Astra Serif" w:hAnsi="PT Astra Serif"/>
          <w:sz w:val="28"/>
          <w:szCs w:val="28"/>
        </w:rPr>
        <w:t xml:space="preserve"> в соответствии с Федеральным </w:t>
      </w:r>
      <w:hyperlink r:id="rId5">
        <w:r>
          <w:rPr>
            <w:rStyle w:val="ListLabel3"/>
            <w:rFonts w:cs="Times New Roman" w:ascii="PT Astra Serif" w:hAnsi="PT Astra Serif"/>
            <w:sz w:val="28"/>
            <w:szCs w:val="28"/>
          </w:rPr>
          <w:t>законом</w:t>
        </w:r>
      </w:hyperlink>
      <w:r>
        <w:rPr>
          <w:rFonts w:cs="Times New Roman" w:ascii="PT Astra Serif" w:hAnsi="PT Astra Serif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ab/>
        <w:t xml:space="preserve">Требования </w:t>
      </w:r>
      <w:r>
        <w:rPr>
          <w:rFonts w:eastAsia="Calibri" w:cs="Times New Roman" w:ascii="PT Astra Serif" w:hAnsi="PT Astra Serif"/>
          <w:spacing w:val="-4"/>
          <w:sz w:val="28"/>
          <w:szCs w:val="28"/>
        </w:rPr>
        <w:t>(условия),</w:t>
      </w: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PT Astra Serif" w:hAnsi="PT Astra Serif"/>
          <w:b/>
          <w:sz w:val="28"/>
          <w:szCs w:val="28"/>
        </w:rPr>
        <w:t>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 первое число месяца, в котором подается заявка, должен соответствовать следующим требованиям: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– производителе товаров, работ, услуг, являющемся участником отбора;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</w:t>
      </w:r>
      <w:r>
        <w:rPr>
          <w:rFonts w:ascii="PT Astra Serif" w:hAnsi="PT Astra Serif"/>
          <w:color w:val="auto"/>
          <w:sz w:val="28"/>
          <w:szCs w:val="28"/>
        </w:rPr>
        <w:t>1.</w:t>
      </w:r>
      <w:hyperlink r:id="rId6">
        <w:r>
          <w:rPr>
            <w:rStyle w:val="ListLabel2"/>
            <w:rFonts w:ascii="PT Astra Serif" w:hAnsi="PT Astra Serif"/>
            <w:color w:val="auto"/>
            <w:sz w:val="28"/>
            <w:szCs w:val="28"/>
          </w:rPr>
          <w:t>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52_1548940070"/>
      <w:bookmarkStart w:id="1" w:name="__DdeLink__566_3855130838"/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>комплекса Саратовской области</w:t>
      </w:r>
      <w:bookmarkEnd w:id="0"/>
      <w:bookmarkEnd w:id="1"/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>»</w:t>
      </w:r>
      <w:r>
        <w:rPr>
          <w:rFonts w:ascii="PT Astra Serif" w:hAnsi="PT Astra Serif"/>
          <w:b w:val="false"/>
          <w:bCs w:val="false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1. Получателям субсидии производится выплата на гидромелиоративные мероприятия,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плата производится за приобретенные и установленные на участке орошения новые поливные и распределительные трубопроводы, новые дождевальные машины и установки, дождевальные и поливные аппараты, насосно-силовое и электросиловое оборудование, запорно-регулирующую арматуру и фитинги оросительной сети, оборудования для дозирования и внесения удобрений, за строительно-монтажные работы, включенные в сводный сметный расчет стоимости строительства, реконструкции, технического перевооружения (в том числе приобретенные в лизинг), за изготовление проектно-сметной документации и проведение экспертизы, при условии ввода в эксплуатацию мелиорируемых земель.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заявление на участие в отборе по форме согласно приложению 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платёжных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приобретения оборудования в лизинг, договор лизинга на приобретённое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реорганизации 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                           50 процентов;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 отсутствии в реестре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недобросовестных поставщиков (подрядчиков, исполнителей) (указывается при участии в отборе в 2022 году)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части затрат, связанных с проведением строительно-монтажных работ: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о приемке выполненных работ по форме № КС-2;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справки о стоимости выполненных работ и затрат по форме № КС-3;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строительно-монтажных работ с приложение копий платежных документов, подтверждающих оплату выполненных работ (при выполнении работ подрядным способом);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выполнения строительно-монтажных работ сельскохозяйственными товаропроизводителями самостоятельно: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стоимость использованных в строительно-монтажных работах расходных материалов: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на оплату труда работников, занятых на строительных работах хозспособом, в том числе отчисления на социальные нужды от фонда оплаты труда;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по содержанию и эксплуатации строительных машин и механизмов;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оплату строительно-монтажных работ, технологического оборудования и материалов, платежных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товарных накладных или универсальных передаточных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работ по строительству, реконструкции и техническому перевооружению мелиоративных систем общего и индивидуального пользования, включающих отдельно расположенные гидротехнические сооружения, с приложением копий свидетельства о допуске к соответствующим видам работ и графика выполнения строительно-монтажных работ, а также договоров на поставку оборудования, материалов;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правоустанавлювающие документы на оросительные системы общего и индивидуального пользования и отдельно расположенные гидротехнические сооружения (свидетельство о праве собственности, реестры договоров аренды имущества сроком более одного года или в случае аренды имущественной доля (пая) — реестры договоров аренды имущественной доли (пая) сроком более одного года, справка о балансовой принадлежности имущества), заверенные в установленном законодательством Российской Федерации порядке (представляется в случае реконструкции существующих оросительных систем, если права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на указанные объекты не зарегистрированы в Едином государственном реестре недвижимости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PT Astra Serif" w:ascii="PT Astra Serif" w:hAnsi="PT Astra Serif"/>
          <w:sz w:val="28"/>
          <w:szCs w:val="28"/>
          <w:lang w:eastAsia="ru-RU"/>
        </w:rPr>
        <w:tab/>
        <w:t>До</w:t>
      </w:r>
      <w:r>
        <w:rPr>
          <w:rFonts w:eastAsia="Calibri" w:cs="Times New Roman" w:ascii="PT Astra Serif" w:hAnsi="PT Astra Serif"/>
          <w:sz w:val="28"/>
          <w:szCs w:val="28"/>
        </w:rPr>
        <w:t>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ascii="PT Astra Serif" w:hAnsi="PT Astra Serif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Отдел м</w:t>
      </w:r>
      <w:r>
        <w:rPr>
          <w:rFonts w:cs="Times New Roman" w:ascii="PT Astra Serif" w:hAnsi="PT Astra Serif"/>
          <w:sz w:val="28"/>
          <w:szCs w:val="28"/>
        </w:rPr>
        <w:t>елиорации и развития сельских территорий</w:t>
      </w:r>
      <w:r>
        <w:rPr>
          <w:rFonts w:ascii="PT Astra Serif" w:hAnsi="PT Astra Serif"/>
          <w:sz w:val="28"/>
          <w:szCs w:val="28"/>
        </w:rPr>
        <w:t xml:space="preserve">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Сотрудник отдела м</w:t>
      </w:r>
      <w:r>
        <w:rPr>
          <w:rFonts w:cs="Times New Roman" w:ascii="PT Astra Serif" w:hAnsi="PT Astra Serif"/>
          <w:sz w:val="28"/>
          <w:szCs w:val="28"/>
        </w:rPr>
        <w:t>елиорации и развития сельских территорий</w:t>
      </w:r>
      <w:r>
        <w:rPr>
          <w:rFonts w:ascii="PT Astra Serif" w:hAnsi="PT Astra Serif"/>
          <w:sz w:val="28"/>
          <w:szCs w:val="28"/>
        </w:rPr>
        <w:t xml:space="preserve">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PT Astra Serif" w:hAnsi="PT Astra Serif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PT Astra Serif" w:hAnsi="PT Astra Serif"/>
          <w:sz w:val="28"/>
          <w:szCs w:val="28"/>
        </w:rPr>
        <w:t xml:space="preserve"> 10 рабочих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7 рабочих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PT Astra Serif" w:hAnsi="PT Astra Serif"/>
          <w:spacing w:val="-10"/>
          <w:sz w:val="28"/>
          <w:szCs w:val="28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Разъяснения положений объявления </w:t>
      </w:r>
      <w:r>
        <w:rPr>
          <w:rFonts w:cs="Times New Roman" w:ascii="PT Astra Serif" w:hAnsi="PT Astra Serif"/>
          <w:sz w:val="28"/>
          <w:szCs w:val="28"/>
        </w:rPr>
        <w:t xml:space="preserve">о проведении отбора на предоставление субсидии </w:t>
      </w:r>
      <w:r>
        <w:rPr>
          <w:rFonts w:eastAsia="Calibri" w:cs="Times New Roman" w:ascii="PT Astra Serif" w:hAnsi="PT Astra Serif"/>
          <w:sz w:val="28"/>
          <w:szCs w:val="28"/>
        </w:rPr>
        <w:t xml:space="preserve">осуществляется </w:t>
      </w:r>
      <w:r>
        <w:rPr>
          <w:rFonts w:cs="Times New Roman" w:ascii="PT Astra Serif" w:hAnsi="PT Astra Serif"/>
          <w:sz w:val="28"/>
          <w:szCs w:val="28"/>
        </w:rPr>
        <w:t>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PT Astra Serif" w:hAnsi="PT Astra Serif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  <w:highlight w:val="yellow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cs="Times New Roman" w:ascii="PT Astra Serif" w:hAnsi="PT Astra Serif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</w:t>
      </w:r>
      <w:r>
        <w:rPr>
          <w:rFonts w:ascii="PT Astra Serif" w:hAnsi="PT Astra Serif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области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  <w:r>
        <w:rPr>
          <w:rFonts w:ascii="PT Astra Serif" w:hAnsi="PT Astra Serif"/>
        </w:rPr>
        <w:t>____________________________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both"/>
        <w:rPr>
          <w:rFonts w:ascii="PT Astra Serif" w:hAnsi="PT Astra Serif"/>
        </w:rPr>
      </w:pPr>
      <w:bookmarkStart w:id="3" w:name="P401"/>
      <w:bookmarkEnd w:id="3"/>
      <w:r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  <w:sz w:val="21"/>
          <w:szCs w:val="21"/>
        </w:rPr>
        <w:t xml:space="preserve">  </w:t>
      </w:r>
      <w:r>
        <w:rPr>
          <w:rFonts w:ascii="PT Astra Serif" w:hAnsi="PT Astra Serif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</w:t>
      </w:r>
      <w:r>
        <w:rPr>
          <w:rFonts w:ascii="PT Astra Serif" w:hAnsi="PT Astra Serif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</w:t>
      </w:r>
      <w:r>
        <w:rPr>
          <w:rFonts w:ascii="PT Astra Serif" w:hAnsi="PT Astra Serif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</w:t>
      </w:r>
      <w:r>
        <w:rPr>
          <w:rFonts w:ascii="PT Astra Serif" w:hAnsi="PT Astra Serif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cs="Times New Roman" w:ascii="PT Astra Serif" w:hAnsi="PT Astra Serif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cs="Times New Roman" w:ascii="PT Astra Serif" w:hAnsi="PT Astra Serif"/>
          <w:color w:val="000000"/>
          <w:spacing w:val="-1"/>
          <w:kern w:val="0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cs="Times New Roman" w:ascii="PT Astra Serif" w:hAnsi="PT Astra Serif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</w:t>
      </w:r>
      <w:r>
        <w:rPr>
          <w:rFonts w:ascii="PT Astra Serif" w:hAnsi="PT Astra Serif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Astra Serif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32e9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 w:cs="Times New Roman"/>
      <w:sz w:val="28"/>
      <w:szCs w:val="28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7">
    <w:name w:val="ListLabel 27"/>
    <w:qFormat/>
    <w:rPr>
      <w:rFonts w:ascii="Times New Roman" w:hAnsi="Times New Roman" w:cs="Times New Roman"/>
      <w:sz w:val="28"/>
      <w:szCs w:val="28"/>
    </w:rPr>
  </w:style>
  <w:style w:type="character" w:styleId="ListLabel44">
    <w:name w:val="ListLabel 44"/>
    <w:qFormat/>
    <w:rPr>
      <w:rFonts w:eastAsia="Tahoma"/>
      <w:color w:val="auto"/>
      <w:kern w:val="0"/>
      <w:sz w:val="28"/>
      <w:szCs w:val="28"/>
    </w:rPr>
  </w:style>
  <w:style w:type="character" w:styleId="ListLabel56">
    <w:name w:val="ListLabel 56"/>
    <w:qFormat/>
    <w:rPr>
      <w:rFonts w:eastAsia="Tahoma"/>
      <w:color w:val="auto"/>
      <w:kern w:val="0"/>
      <w:sz w:val="28"/>
      <w:szCs w:val="28"/>
    </w:rPr>
  </w:style>
  <w:style w:type="character" w:styleId="ListLabel55">
    <w:name w:val="ListLabel 55"/>
    <w:qFormat/>
    <w:rPr>
      <w:color w:val="auto"/>
    </w:rPr>
  </w:style>
  <w:style w:type="character" w:styleId="ListLabel57">
    <w:name w:val="ListLabel 5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8">
    <w:name w:val="ListLabel 5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59">
    <w:name w:val="ListLabel 59"/>
    <w:qFormat/>
    <w:rPr>
      <w:rFonts w:ascii="Times New Roman" w:hAnsi="Times New Roman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60">
    <w:name w:val="ListLabel 60"/>
    <w:qFormat/>
    <w:rPr>
      <w:rFonts w:ascii="Times New Roman" w:hAnsi="Times New Roman" w:cs="Times New Roman"/>
      <w:sz w:val="28"/>
      <w:szCs w:val="28"/>
    </w:rPr>
  </w:style>
  <w:style w:type="character" w:styleId="ListLabel61">
    <w:name w:val="ListLabel 61"/>
    <w:qFormat/>
    <w:rPr>
      <w:rFonts w:ascii="Times New Roman" w:hAnsi="Times New Roman"/>
      <w:color w:val="auto"/>
      <w:sz w:val="28"/>
      <w:szCs w:val="28"/>
    </w:rPr>
  </w:style>
  <w:style w:type="character" w:styleId="ListLabel62">
    <w:name w:val="ListLabel 62"/>
    <w:qFormat/>
    <w:rPr>
      <w:rFonts w:ascii="PT Astra Serif" w:hAnsi="PT Astra Serif" w:eastAsia="Calibri" w:cs="Times New Roman"/>
      <w:color w:val="auto"/>
      <w:sz w:val="28"/>
      <w:szCs w:val="28"/>
      <w:u w:val="none"/>
      <w:lang w:val="en-US"/>
    </w:rPr>
  </w:style>
  <w:style w:type="character" w:styleId="ListLabel63">
    <w:name w:val="ListLabel 63"/>
    <w:qFormat/>
    <w:rPr>
      <w:rFonts w:ascii="PT Astra Serif" w:hAnsi="PT Astra Serif" w:eastAsia="Calibri" w:cs="Times New Roman"/>
      <w:color w:val="auto"/>
      <w:sz w:val="28"/>
      <w:szCs w:val="28"/>
      <w:u w:val="none"/>
    </w:rPr>
  </w:style>
  <w:style w:type="character" w:styleId="ListLabel64">
    <w:name w:val="ListLabel 64"/>
    <w:qFormat/>
    <w:rPr>
      <w:rFonts w:ascii="PT Astra Serif" w:hAnsi="PT Astra Serif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65">
    <w:name w:val="ListLabel 65"/>
    <w:qFormat/>
    <w:rPr>
      <w:rFonts w:ascii="PT Astra Serif" w:hAnsi="PT Astra Serif" w:cs="Times New Roman"/>
      <w:sz w:val="28"/>
      <w:szCs w:val="28"/>
    </w:rPr>
  </w:style>
  <w:style w:type="character" w:styleId="ListLabel66">
    <w:name w:val="ListLabel 66"/>
    <w:qFormat/>
    <w:rPr>
      <w:rFonts w:ascii="PT Astra Serif" w:hAnsi="PT Astra Serif"/>
      <w:color w:val="auto"/>
      <w:sz w:val="28"/>
      <w:szCs w:val="28"/>
    </w:rPr>
  </w:style>
  <w:style w:type="character" w:styleId="ListLabel67">
    <w:name w:val="ListLabel 67"/>
    <w:qFormat/>
    <w:rPr>
      <w:rFonts w:ascii="PT Astra Serif" w:hAnsi="PT Astra Serif" w:eastAsia="Calibri" w:cs="Times New Roman"/>
      <w:color w:val="auto"/>
      <w:sz w:val="28"/>
      <w:szCs w:val="28"/>
      <w:u w:val="none"/>
      <w:lang w:val="en-US"/>
    </w:rPr>
  </w:style>
  <w:style w:type="character" w:styleId="ListLabel68">
    <w:name w:val="ListLabel 68"/>
    <w:qFormat/>
    <w:rPr>
      <w:rFonts w:ascii="PT Astra Serif" w:hAnsi="PT Astra Serif" w:eastAsia="Calibri" w:cs="Times New Roman"/>
      <w:color w:val="auto"/>
      <w:sz w:val="28"/>
      <w:szCs w:val="28"/>
      <w:u w:val="none"/>
    </w:rPr>
  </w:style>
  <w:style w:type="character" w:styleId="ListLabel69">
    <w:name w:val="ListLabel 69"/>
    <w:qFormat/>
    <w:rPr>
      <w:rFonts w:ascii="PT Astra Serif" w:hAnsi="PT Astra Serif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70">
    <w:name w:val="ListLabel 70"/>
    <w:qFormat/>
    <w:rPr>
      <w:rFonts w:ascii="PT Astra Serif" w:hAnsi="PT Astra Serif" w:cs="Times New Roman"/>
      <w:sz w:val="28"/>
      <w:szCs w:val="28"/>
    </w:rPr>
  </w:style>
  <w:style w:type="character" w:styleId="ListLabel71">
    <w:name w:val="ListLabel 71"/>
    <w:qFormat/>
    <w:rPr>
      <w:rFonts w:ascii="PT Astra Serif" w:hAnsi="PT Astra Serif"/>
      <w:color w:val="auto"/>
      <w:sz w:val="28"/>
      <w:szCs w:val="28"/>
    </w:rPr>
  </w:style>
  <w:style w:type="character" w:styleId="ListLabel72">
    <w:name w:val="ListLabel 72"/>
    <w:qFormat/>
    <w:rPr>
      <w:rFonts w:ascii="PT Astra Serif" w:hAnsi="PT Astra Serif" w:eastAsia="Calibri" w:cs="Times New Roman"/>
      <w:color w:val="auto"/>
      <w:sz w:val="28"/>
      <w:szCs w:val="28"/>
      <w:u w:val="none"/>
      <w:lang w:val="en-US"/>
    </w:rPr>
  </w:style>
  <w:style w:type="character" w:styleId="ListLabel73">
    <w:name w:val="ListLabel 73"/>
    <w:qFormat/>
    <w:rPr>
      <w:rFonts w:ascii="PT Astra Serif" w:hAnsi="PT Astra Serif" w:eastAsia="Calibri" w:cs="Times New Roman"/>
      <w:color w:val="auto"/>
      <w:sz w:val="28"/>
      <w:szCs w:val="28"/>
      <w:u w:val="none"/>
    </w:rPr>
  </w:style>
  <w:style w:type="character" w:styleId="ListLabel74">
    <w:name w:val="ListLabel 74"/>
    <w:qFormat/>
    <w:rPr>
      <w:rFonts w:ascii="PT Astra Serif" w:hAnsi="PT Astra Serif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75">
    <w:name w:val="ListLabel 75"/>
    <w:qFormat/>
    <w:rPr>
      <w:rFonts w:ascii="PT Astra Serif" w:hAnsi="PT Astra Serif" w:cs="Times New Roman"/>
      <w:sz w:val="28"/>
      <w:szCs w:val="28"/>
    </w:rPr>
  </w:style>
  <w:style w:type="character" w:styleId="ListLabel76">
    <w:name w:val="ListLabel 76"/>
    <w:qFormat/>
    <w:rPr>
      <w:rFonts w:ascii="PT Astra Serif" w:hAnsi="PT Astra Serif"/>
      <w:color w:val="auto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link w:val="ConsPlusNormal0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2">
    <w:name w:val="Без интервала"/>
    <w:basedOn w:val="Style1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560C150310C4D19C2E9693343CE6D5149360DL" TargetMode="External"/><Relationship Id="rId4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5" Type="http://schemas.openxmlformats.org/officeDocument/2006/relationships/hyperlink" Target="consultantplus://offline/ref=B0BE9BB6DC758A575EEBDC7D19D43E663294655DEDD661F16763AFB29AA0E7DC407BA42B1DC8D49F730471E8A5t7y8L" TargetMode="External"/><Relationship Id="rId6" Type="http://schemas.openxmlformats.org/officeDocument/2006/relationships/hyperlink" Target="consultantplus://offline/ref=28CFA9123725BC0E273712ECF5BBF8CBEF16104BB30EA582C6B6ABE6358941F82137FBFD3A695EAAA6FDD50936F0B4DA013136B757116FD5102E613AHEm5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Application>LibreOffice/6.1.3.2$Linux_X86_64 LibreOffice_project/10$Build-2</Application>
  <Pages>8</Pages>
  <Words>2449</Words>
  <Characters>19142</Characters>
  <CharactersWithSpaces>22867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2022-10-31T09:10:19Z</cp:lastPrinted>
  <dcterms:modified xsi:type="dcterms:W3CDTF">2022-10-31T09:10:21Z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