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2023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2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4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августа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0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6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сентября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гидромелиоративные мероприятия и </w:t>
      </w:r>
      <w:r>
        <w:rPr>
          <w:rFonts w:eastAsia="Calibri" w:cs="Times New Roman" w:ascii="PT Astra Serif" w:hAnsi="PT Astra Serif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Style w:val="ListLabel44"/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</w:r>
      <w:hyperlink r:id="rId3">
        <w:r>
          <w:rPr>
            <w:rStyle w:val="ListLabel44"/>
            <w:rFonts w:eastAsia="Calibri" w:cs="Times New Roman" w:ascii="PT Astra Serif" w:hAnsi="PT Astra Serif" w:eastAsiaTheme="minorHAnsi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  <w:lang w:val="ru-RU" w:eastAsia="en-US" w:bidi="ar-SA"/>
          </w:rPr>
          <w:t>площадь</w:t>
        </w:r>
      </w:hyperlink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</w:t>
      </w:r>
      <w:hyperlink r:id="rId4">
        <w:r>
          <w:rPr>
            <w:rStyle w:val="ListLabel44"/>
            <w:rFonts w:eastAsia="Calibri" w:cs="Times New Roman" w:ascii="PT Astra Serif" w:hAnsi="PT Astra Serif" w:eastAsiaTheme="minorHAnsi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  <w:lang w:val="ru-RU" w:eastAsia="en-US" w:bidi="ar-SA"/>
          </w:rPr>
          <w:t>площадь</w:t>
        </w:r>
      </w:hyperlink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малого предпринимательства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в соответствии с Федеральным </w:t>
      </w:r>
      <w:hyperlink r:id="rId5">
        <w:r>
          <w:rPr>
            <w:rStyle w:val="ListLabel3"/>
            <w:rFonts w:eastAsia="Calibri" w:cs="Times New Roman" w:ascii="PT Astra Serif" w:hAnsi="PT Astra Serif" w:eastAsiaTheme="minorHAnsi"/>
            <w:color w:val="auto"/>
            <w:kern w:val="0"/>
            <w:sz w:val="28"/>
            <w:szCs w:val="28"/>
            <w:lang w:val="ru-RU" w:eastAsia="en-US" w:bidi="ar-SA"/>
          </w:rPr>
          <w:t>законом</w:t>
        </w:r>
      </w:hyperlink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ab/>
        <w:t xml:space="preserve">Требования </w:t>
      </w:r>
      <w:r>
        <w:rPr>
          <w:rFonts w:eastAsia="Calibri" w:cs="Times New Roman" w:ascii="PT Astra Serif" w:hAnsi="PT Astra Serif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>(условия),</w:t>
      </w: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: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на получение субсидии по состоянию на дату подачи заявки, должен соответствовать следующим требованиям: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году,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- производителе товаров, работ, услуг, являющемся участником отбора;</w:t>
      </w:r>
    </w:p>
    <w:p>
      <w:pPr>
        <w:pStyle w:val="Normal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получать средства из областного бюджета на основании иных нормативных правовых актов Саратовской области;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 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52_1548940070"/>
      <w:bookmarkStart w:id="1" w:name="__DdeLink__566_3855130838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комплекса Саратовской области</w:t>
      </w:r>
      <w:bookmarkEnd w:id="0"/>
      <w:bookmarkEnd w:id="1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»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1. Получателям субсидии производится выплата на гидромелиоративные мероприятия, оплата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в реестре недобросовестных поставщиков (подрядчиков, исполнителей) (указывается при участии в отборе в 2022 году).</w:t>
      </w:r>
    </w:p>
    <w:p>
      <w:pPr>
        <w:pStyle w:val="Normal"/>
        <w:jc w:val="both"/>
        <w:rPr/>
      </w:pPr>
      <w:r>
        <w:rPr/>
        <w:tab/>
      </w:r>
      <w:r>
        <w:rPr>
          <w:rFonts w:ascii="PT Astra Serif" w:hAnsi="PT Astra Serif"/>
          <w:sz w:val="28"/>
          <w:szCs w:val="28"/>
        </w:rPr>
        <w:t>В части затрат, связанных с проведением строительно-монтажных работ: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о приемке выполненных работ по форме № КС-2;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справки о стоимости выполненных работ и затрат по форме № КС-3;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приемки законченного строительством объекта по форме N КС-11;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о приеме-передачи объекта основных средств (кроме зданий, сооружений) по форме № ОС-1;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стоимость использованных в строительно-монтажных работах расходных материалов: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по содержанию и эксплуатации строительных машин и механизмов;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товарных накладных или универсальных передаточных документов;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на указанные объекты не зарегистрированы в Едином государственном реестре недвижимости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PT Astra Serif" w:ascii="PT Astra Serif" w:hAnsi="PT Astra Serif" w:eastAsiaTheme="minorHAnsi"/>
          <w:color w:val="auto"/>
          <w:kern w:val="0"/>
          <w:sz w:val="28"/>
          <w:szCs w:val="28"/>
          <w:lang w:val="ru-RU" w:eastAsia="ru-RU" w:bidi="ar-SA"/>
        </w:rPr>
        <w:tab/>
        <w:t>До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2.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Отдел мелиорации и развития сельских территорий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Сотрудник отдела мелиорации и развития сельских территорий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Разъяснения положений объявления о проведении отбора на предоставление субсидии осуществляется 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both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d32e9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1">
    <w:name w:val="Без интервала"/>
    <w:basedOn w:val="Style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Application>LibreOffice/7.5.4.2$Linux_X86_64 LibreOffice_project/36ccfdc35048b057fd9854c757a8b67ec53977b6</Application>
  <AppVersion>15.0000</AppVersion>
  <DocSecurity>0</DocSecurity>
  <Pages>9</Pages>
  <Words>2552</Words>
  <Characters>19821</Characters>
  <CharactersWithSpaces>23713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2023-08-21T10:39:17Z</cp:lastPrinted>
  <dcterms:modified xsi:type="dcterms:W3CDTF">2023-08-21T10:39:22Z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