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FA" w:rsidRPr="006930FA" w:rsidRDefault="006930FA" w:rsidP="006930FA">
      <w:pPr>
        <w:shd w:val="clear" w:color="auto" w:fill="FFFFFF"/>
        <w:spacing w:after="0" w:line="288" w:lineRule="atLeast"/>
        <w:ind w:firstLine="709"/>
        <w:jc w:val="both"/>
        <w:rPr>
          <w:rFonts w:ascii="Verdana" w:eastAsia="Times New Roman" w:hAnsi="Verdana" w:cs="Times New Roman"/>
          <w:color w:val="4D4C4C"/>
          <w:sz w:val="21"/>
          <w:szCs w:val="21"/>
          <w:lang w:eastAsia="ru-RU"/>
        </w:rPr>
      </w:pPr>
      <w:bookmarkStart w:id="0" w:name="_GoBack"/>
      <w:bookmarkEnd w:id="0"/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декабре 2017 года на СПбМТСБ стартовал проект по организации торгов в Секции «Минеральное сырье и химическая продукция». В 2018 году был реализован пилотный проект биржевых торгов минеральными удобрениями. По итогам его реализации в рамках Биржевого комитета ФАС России по минеральным удобрениям было принято решение о дальнейшем развитии торгов, расширении линейки товаров для реализации на Бирже.</w:t>
      </w:r>
    </w:p>
    <w:p w:rsidR="00DA1950" w:rsidRDefault="00DA1950" w:rsidP="006930FA">
      <w:pPr>
        <w:shd w:val="clear" w:color="auto" w:fill="FFFFFF"/>
        <w:spacing w:after="0" w:line="288" w:lineRule="atLeast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Сегодня на биржевых торгах реализуют свою продукцию крупнейшие производители минеральных удобрений: Группа «ФосАгро» (АО «Апатит», ООО «ФосАгро-Регион»), АО «МХК «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ЕвроХим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 (ООО «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ЕвроХим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Трейдинг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Рус»), АО «ОХК «УРАЛХИМ» (ООО ТД «УРАЛХИМ»), Группа «Акрон» (ПАО «Акрон», ПАО «Дорогобуж», АО «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Агронова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), ПАО «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КуйбышевАзот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», ПАО «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Тольяттиазот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», КАО «Азот», ООО «Газпром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нефтехим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Салават».</w:t>
      </w:r>
    </w:p>
    <w:p w:rsidR="00DA1950" w:rsidRPr="00DA1950" w:rsidRDefault="00DA1950" w:rsidP="006930FA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DA1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сегодняшний день на биржевых торгах представлены все основные виды минеральных удобрений: аммофос и </w:t>
      </w:r>
      <w:proofErr w:type="spellStart"/>
      <w:r w:rsidRPr="00DA1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сульфоаммофос</w:t>
      </w:r>
      <w:proofErr w:type="spellEnd"/>
      <w:r w:rsidRPr="00DA1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селитра аммиачная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марки Б</w:t>
      </w:r>
      <w:r w:rsidRPr="00DA1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карбамид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марки Б</w:t>
      </w:r>
      <w:r w:rsidRPr="00DA195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азотно-фосфорно-калийные удобрения 15:15:15, 10:26:26.</w:t>
      </w:r>
    </w:p>
    <w:p w:rsidR="006930FA" w:rsidRPr="006930FA" w:rsidRDefault="006930FA" w:rsidP="006930FA">
      <w:pPr>
        <w:shd w:val="clear" w:color="auto" w:fill="FFFFFF"/>
        <w:spacing w:after="0" w:line="288" w:lineRule="atLeast"/>
        <w:ind w:firstLine="709"/>
        <w:jc w:val="both"/>
        <w:rPr>
          <w:rFonts w:ascii="Verdana" w:eastAsia="Times New Roman" w:hAnsi="Verdana" w:cs="Times New Roman"/>
          <w:color w:val="4D4C4C"/>
          <w:sz w:val="21"/>
          <w:szCs w:val="21"/>
          <w:lang w:eastAsia="ru-RU"/>
        </w:rPr>
      </w:pPr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Развитие биржевых торгов осуществляется в соответствии с целями и задачами, поставленными Национальным планом развития конкуренции, утвержденным Указом Президента РФ от 27.12.2017 г. №618.</w:t>
      </w:r>
    </w:p>
    <w:p w:rsidR="006930FA" w:rsidRPr="006930FA" w:rsidRDefault="006930FA" w:rsidP="006930FA">
      <w:pPr>
        <w:shd w:val="clear" w:color="auto" w:fill="FFFFFF"/>
        <w:spacing w:after="0" w:line="288" w:lineRule="atLeast"/>
        <w:ind w:firstLine="709"/>
        <w:jc w:val="both"/>
        <w:rPr>
          <w:rFonts w:ascii="Verdana" w:eastAsia="Times New Roman" w:hAnsi="Verdana" w:cs="Times New Roman"/>
          <w:color w:val="4D4C4C"/>
          <w:sz w:val="21"/>
          <w:szCs w:val="21"/>
          <w:lang w:eastAsia="ru-RU"/>
        </w:rPr>
      </w:pPr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феврале 2020 года вступил в силу Совместный приказ ФАС России и </w:t>
      </w:r>
      <w:proofErr w:type="spellStart"/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Мипромторга</w:t>
      </w:r>
      <w:proofErr w:type="spellEnd"/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России, который, в соответствии с Ст.6 закона «О защите конкуренции» №135-ФЗ от 26.07.2006 г., устанавливает минимальные объемы биржевых продаж минеральных удобрений для крупнейших компаний на уровне 10% от объема поставок на внутренний рынок по месяцам с учетом сезонности.</w:t>
      </w:r>
    </w:p>
    <w:p w:rsidR="006930FA" w:rsidRPr="006930FA" w:rsidRDefault="006930FA" w:rsidP="006930FA">
      <w:pPr>
        <w:shd w:val="clear" w:color="auto" w:fill="FFFFFF"/>
        <w:spacing w:after="0" w:line="288" w:lineRule="atLeast"/>
        <w:ind w:firstLine="709"/>
        <w:jc w:val="both"/>
        <w:rPr>
          <w:rFonts w:ascii="Verdana" w:eastAsia="Times New Roman" w:hAnsi="Verdana" w:cs="Times New Roman"/>
          <w:color w:val="4D4C4C"/>
          <w:sz w:val="21"/>
          <w:szCs w:val="21"/>
          <w:lang w:eastAsia="ru-RU"/>
        </w:rPr>
      </w:pPr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Расширяется количество регионов, на базисах поставки которых происходит реализация товара с баз производителей, - в 2020 году впервые были реализованы минеральные удобрения с баз производителей, расположенных в Белгородской, Брянской, Воронежской, Кировской, Курской, Липецкой, Московской, Нижегородской, Орловской, Пензенской, Ростовской, Свердловской и Тамбовской областях, Приморском и Ставропольском краях, а также в Республиках Башкортостан, Мордовия и Татарстан.</w:t>
      </w:r>
    </w:p>
    <w:p w:rsidR="006930FA" w:rsidRPr="006930FA" w:rsidRDefault="006930FA" w:rsidP="006930FA">
      <w:pPr>
        <w:shd w:val="clear" w:color="auto" w:fill="FFFFFF"/>
        <w:spacing w:after="0" w:line="288" w:lineRule="atLeast"/>
        <w:ind w:firstLine="709"/>
        <w:jc w:val="both"/>
        <w:rPr>
          <w:rFonts w:ascii="Verdana" w:eastAsia="Times New Roman" w:hAnsi="Verdana" w:cs="Times New Roman"/>
          <w:color w:val="4D4C4C"/>
          <w:sz w:val="21"/>
          <w:szCs w:val="21"/>
          <w:lang w:eastAsia="ru-RU"/>
        </w:rPr>
      </w:pPr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Всего на бирже на сегодняшний день зарегистрировано более 100 базисов поставки </w:t>
      </w:r>
      <w:r w:rsidRPr="006930F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(</w:t>
      </w:r>
      <w:r w:rsidRPr="006930FA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FFFFFF"/>
          <w:lang w:eastAsia="ru-RU"/>
        </w:rPr>
        <w:t>с полным перечнем базисов можно ознакомиться в Спецификации биржевого товара по Секции «Минеральное сырье и химическая продукция» АО «СПбМТСБ» по ссылке </w:t>
      </w:r>
      <w:hyperlink r:id="rId5" w:history="1">
        <w:r w:rsidRPr="006930FA">
          <w:rPr>
            <w:rFonts w:ascii="Arial" w:eastAsia="Times New Roman" w:hAnsi="Arial" w:cs="Arial"/>
            <w:i/>
            <w:iCs/>
            <w:color w:val="0077AE"/>
            <w:sz w:val="26"/>
            <w:szCs w:val="26"/>
            <w:u w:val="single"/>
            <w:shd w:val="clear" w:color="auto" w:fill="FFFFFF"/>
            <w:lang w:eastAsia="ru-RU"/>
          </w:rPr>
          <w:t>https://spimex.com/markets/agro/documents/</w:t>
        </w:r>
      </w:hyperlink>
      <w:r w:rsidRPr="006930FA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  <w:t>)</w:t>
      </w:r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расположенных в 32 субъектах Российской Федерации.</w:t>
      </w:r>
    </w:p>
    <w:p w:rsidR="009E4A91" w:rsidRPr="006930FA" w:rsidRDefault="006930FA" w:rsidP="006930FA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930F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преимуществам биржевой торговли относятся: равный доступ участников к биржевым торгам, рыночное ценообразование, высокая ликвидность и постоянное наличие товара, стандартизированные и прозрачные условия заключения и исполнения договоров, гарантия исполнения обязательств по биржевому договору.</w:t>
      </w:r>
    </w:p>
    <w:sectPr w:rsidR="009E4A91" w:rsidRPr="00693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FA"/>
    <w:rsid w:val="006930FA"/>
    <w:rsid w:val="009E4A91"/>
    <w:rsid w:val="00DA1950"/>
    <w:rsid w:val="00FD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mex.com/markets/agro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 Игорь Владимирович</dc:creator>
  <cp:lastModifiedBy>*</cp:lastModifiedBy>
  <cp:revision>2</cp:revision>
  <dcterms:created xsi:type="dcterms:W3CDTF">2020-11-05T13:40:00Z</dcterms:created>
  <dcterms:modified xsi:type="dcterms:W3CDTF">2020-11-05T13:40:00Z</dcterms:modified>
</cp:coreProperties>
</file>